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61" w:type="dxa"/>
        <w:tblInd w:w="63" w:type="dxa"/>
        <w:tblCellMar>
          <w:left w:w="70" w:type="dxa"/>
          <w:right w:w="70" w:type="dxa"/>
        </w:tblCellMar>
        <w:tblLook w:val="04A0"/>
      </w:tblPr>
      <w:tblGrid>
        <w:gridCol w:w="3667"/>
        <w:gridCol w:w="1257"/>
        <w:gridCol w:w="829"/>
        <w:gridCol w:w="2399"/>
        <w:gridCol w:w="708"/>
        <w:gridCol w:w="326"/>
      </w:tblGrid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cs-CZ"/>
              </w:rPr>
              <w:t>Jméno pacienta: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cs-CZ"/>
              </w:rPr>
              <w:t>RČ: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AA540D" w:rsidRPr="00AA540D" w:rsidTr="0008512D">
        <w:trPr>
          <w:trHeight w:val="463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  <w:t>Klinický projev BWS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  <w:t>Přítomnost znaku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  <w:t>Údaje chybí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  <w:t>Poznámka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cs-CZ"/>
              </w:rPr>
              <w:t>Hodnota znaku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Porodní data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Z gravidity po IVF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Polyhydramnion</w:t>
            </w:r>
            <w:proofErr w:type="spellEnd"/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cs-CZ"/>
              </w:rPr>
              <w:t>Δ</w:t>
            </w: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Placentomegalie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Dysplazie placenty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Týden porodu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 (&gt;2 SD)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Porodní hmotnost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Přechodná hypoglykémie (&lt;1 týden)*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Hyperinsulinismus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(&gt;1 týden)**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Fenotypové znaky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Makroglosie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Facial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naevus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flammeus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Ušní rýhy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Hemihypertrofie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(ano/ne, které části těla)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Exomfalos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/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omfalokéla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Umbilikální hernie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cs-CZ"/>
              </w:rPr>
              <w:t>Δ</w:t>
            </w: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Diastasis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m.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recti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abd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AA540D" w:rsidRPr="00AA540D" w:rsidTr="0008512D">
        <w:trPr>
          <w:trHeight w:val="232"/>
        </w:trPr>
        <w:tc>
          <w:tcPr>
            <w:tcW w:w="36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Klinické nálezy/viscerální anomálie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Nefromegalie</w:t>
            </w:r>
            <w:proofErr w:type="spellEnd"/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eastAsia="cs-CZ"/>
              </w:rPr>
              <w:t>Δ</w:t>
            </w:r>
          </w:p>
        </w:tc>
      </w:tr>
      <w:tr w:rsidR="00AA540D" w:rsidRPr="00AA540D" w:rsidTr="0008512D">
        <w:trPr>
          <w:trHeight w:val="243"/>
        </w:trPr>
        <w:tc>
          <w:tcPr>
            <w:tcW w:w="36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Hepatomegalie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AA540D" w:rsidRPr="00AA540D" w:rsidTr="0008512D">
        <w:trPr>
          <w:trHeight w:val="805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BWS typický tumor (neuroblastom,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rhabdomyosarkom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, jednostranný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Wilmsův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tumor,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hepatoblastom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adrenokortikální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karcinom,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phaeochromocytom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, jiný)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1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Multifokální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Wilmsův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tumor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Nefroblastom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Jiné závažné nálezy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Cytomegalie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kůry nadledvin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Pankreatická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adenomatóza</w:t>
            </w:r>
            <w:proofErr w:type="spellEnd"/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DDC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2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Další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21"/>
        </w:trPr>
        <w:tc>
          <w:tcPr>
            <w:tcW w:w="9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21"/>
        </w:trPr>
        <w:tc>
          <w:tcPr>
            <w:tcW w:w="9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lang w:eastAsia="cs-CZ"/>
              </w:rPr>
              <w:t> </w:t>
            </w:r>
          </w:p>
        </w:tc>
      </w:tr>
      <w:tr w:rsidR="00AA540D" w:rsidRPr="00AA540D" w:rsidTr="0008512D">
        <w:trPr>
          <w:trHeight w:val="232"/>
        </w:trPr>
        <w:tc>
          <w:tcPr>
            <w:tcW w:w="916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  <w:t>*Hypoglykémie: hladina glukózy v plazmě &lt;50 mg/dl prvních 6 hodin po narození a &lt;60 mg/dl následně</w:t>
            </w:r>
          </w:p>
        </w:tc>
      </w:tr>
      <w:tr w:rsidR="00AA540D" w:rsidRPr="00AA540D" w:rsidTr="0008512D">
        <w:trPr>
          <w:trHeight w:val="221"/>
        </w:trPr>
        <w:tc>
          <w:tcPr>
            <w:tcW w:w="91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  <w:t>**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  <w:t>Hyperinsulinismus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  <w:t>: rychlost infuze glukózy ≥8 mg/kg/min, detekovatelná hladina insulinu a/nebo C</w:t>
            </w:r>
            <w:r w:rsidRPr="00AA54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cs-CZ"/>
              </w:rPr>
              <w:noBreakHyphen/>
              <w:t>peptidu a nezjistitelná hladina ketonů a volných mastných kyselin</w:t>
            </w:r>
          </w:p>
        </w:tc>
      </w:tr>
      <w:tr w:rsidR="00AA540D" w:rsidRPr="00AA540D" w:rsidTr="0008512D">
        <w:trPr>
          <w:trHeight w:val="221"/>
        </w:trPr>
        <w:tc>
          <w:tcPr>
            <w:tcW w:w="3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AA540D" w:rsidRPr="00AA540D" w:rsidTr="0008512D">
        <w:trPr>
          <w:trHeight w:val="386"/>
        </w:trPr>
        <w:tc>
          <w:tcPr>
            <w:tcW w:w="91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Hodnota znaku uvedena dle:  BIOUDE,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Frederic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et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al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.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Clinical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and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molecular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diagnosis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screening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and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management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of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Beckwith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-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Wiedemann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syndrome: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an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international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consensus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statement</w:t>
            </w:r>
            <w:proofErr w:type="spellEnd"/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. 2018.</w:t>
            </w:r>
          </w:p>
        </w:tc>
      </w:tr>
      <w:tr w:rsidR="00AA540D" w:rsidRPr="00AA540D" w:rsidTr="0008512D">
        <w:trPr>
          <w:trHeight w:val="772"/>
        </w:trPr>
        <w:tc>
          <w:tcPr>
            <w:tcW w:w="91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8512D" w:rsidRDefault="0008512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</w:p>
          <w:p w:rsidR="0008512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 xml:space="preserve">Δ Při současném výskytu souvisejících klinických jevů nižší hodnoty (označeny společně zeleně) se započítává pouze 1 bod. </w:t>
            </w:r>
          </w:p>
          <w:p w:rsidR="00AA540D" w:rsidRPr="00AA540D" w:rsidRDefault="00AA540D" w:rsidP="00AA540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</w:pPr>
            <w:r w:rsidRPr="00AA540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cs-CZ"/>
              </w:rPr>
              <w:t>Za méně důležitý projev se započítává 1 bod, za hlavní projev 2 body. Při součtu skóre ≥2 je doporučováno genetické vyšetření. Při součtu skóre ≥4 je doporučeno brát pacienta jako BWS i přes případně negativní výsledky genetického vyšetření.</w:t>
            </w:r>
          </w:p>
        </w:tc>
      </w:tr>
    </w:tbl>
    <w:p w:rsidR="00EA521B" w:rsidRPr="003A3D3F" w:rsidRDefault="00EA521B" w:rsidP="003A3D3F"/>
    <w:sectPr w:rsidR="00EA521B" w:rsidRPr="003A3D3F" w:rsidSect="003A3D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71A" w:rsidRDefault="00B5271A" w:rsidP="003A3D3F">
      <w:pPr>
        <w:spacing w:after="0" w:line="240" w:lineRule="auto"/>
      </w:pPr>
      <w:r>
        <w:separator/>
      </w:r>
    </w:p>
  </w:endnote>
  <w:endnote w:type="continuationSeparator" w:id="0">
    <w:p w:rsidR="00B5271A" w:rsidRDefault="00B5271A" w:rsidP="003A3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71A" w:rsidRDefault="00B5271A" w:rsidP="003A3D3F">
      <w:pPr>
        <w:spacing w:after="0" w:line="240" w:lineRule="auto"/>
      </w:pPr>
      <w:r>
        <w:separator/>
      </w:r>
    </w:p>
  </w:footnote>
  <w:footnote w:type="continuationSeparator" w:id="0">
    <w:p w:rsidR="00B5271A" w:rsidRDefault="00B5271A" w:rsidP="003A3D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A3D3F"/>
    <w:rsid w:val="0008512D"/>
    <w:rsid w:val="00172299"/>
    <w:rsid w:val="00243591"/>
    <w:rsid w:val="003971F9"/>
    <w:rsid w:val="003A3D3F"/>
    <w:rsid w:val="00590E8C"/>
    <w:rsid w:val="005E3EA2"/>
    <w:rsid w:val="006E3C78"/>
    <w:rsid w:val="007D1ED7"/>
    <w:rsid w:val="007D3BB4"/>
    <w:rsid w:val="00871C28"/>
    <w:rsid w:val="008E62D4"/>
    <w:rsid w:val="00922FD1"/>
    <w:rsid w:val="00947B42"/>
    <w:rsid w:val="00A756BE"/>
    <w:rsid w:val="00AA540D"/>
    <w:rsid w:val="00B5271A"/>
    <w:rsid w:val="00B736A6"/>
    <w:rsid w:val="00D97548"/>
    <w:rsid w:val="00E56564"/>
    <w:rsid w:val="00EA1E31"/>
    <w:rsid w:val="00EA5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A521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3A3D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A3D3F"/>
  </w:style>
  <w:style w:type="paragraph" w:styleId="Zpat">
    <w:name w:val="footer"/>
    <w:basedOn w:val="Normln"/>
    <w:link w:val="ZpatChar"/>
    <w:uiPriority w:val="99"/>
    <w:semiHidden/>
    <w:unhideWhenUsed/>
    <w:rsid w:val="003A3D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3A3D3F"/>
  </w:style>
  <w:style w:type="table" w:styleId="Mkatabulky">
    <w:name w:val="Table Grid"/>
    <w:basedOn w:val="Normlntabulka"/>
    <w:uiPriority w:val="59"/>
    <w:rsid w:val="003A3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272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marvanova54378</dc:creator>
  <cp:lastModifiedBy>marvanova54378</cp:lastModifiedBy>
  <cp:revision>10</cp:revision>
  <cp:lastPrinted>2019-04-02T09:01:00Z</cp:lastPrinted>
  <dcterms:created xsi:type="dcterms:W3CDTF">2019-04-01T09:10:00Z</dcterms:created>
  <dcterms:modified xsi:type="dcterms:W3CDTF">2019-04-03T10:29:00Z</dcterms:modified>
</cp:coreProperties>
</file>