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86" w:rsidRPr="006165AC" w:rsidRDefault="00686686" w:rsidP="00C0322C">
      <w:pPr>
        <w:jc w:val="center"/>
        <w:rPr>
          <w:b/>
          <w:bCs/>
          <w:sz w:val="44"/>
          <w:szCs w:val="44"/>
        </w:rPr>
      </w:pPr>
      <w:r w:rsidRPr="006165AC">
        <w:rPr>
          <w:b/>
          <w:bCs/>
          <w:sz w:val="44"/>
          <w:szCs w:val="44"/>
        </w:rPr>
        <w:t>Fakultní nemocnice v Motole</w:t>
      </w:r>
    </w:p>
    <w:p w:rsidR="00686686" w:rsidRPr="006165AC" w:rsidRDefault="00686686" w:rsidP="00C0322C">
      <w:pPr>
        <w:jc w:val="center"/>
        <w:rPr>
          <w:b/>
          <w:bCs/>
          <w:sz w:val="24"/>
        </w:rPr>
      </w:pPr>
      <w:r w:rsidRPr="006165AC">
        <w:rPr>
          <w:b/>
          <w:bCs/>
          <w:sz w:val="24"/>
        </w:rPr>
        <w:t>V Úvalu 84, 150 06 Praha 5</w:t>
      </w:r>
    </w:p>
    <w:bookmarkStart w:id="0" w:name="_Toc132682471"/>
    <w:bookmarkStart w:id="1" w:name="_Toc147653063"/>
    <w:bookmarkStart w:id="2" w:name="_Toc147653372"/>
    <w:bookmarkStart w:id="3" w:name="_Toc152063383"/>
    <w:bookmarkStart w:id="4" w:name="_Toc154214568"/>
    <w:bookmarkStart w:id="5" w:name="_Toc156036123"/>
    <w:bookmarkEnd w:id="0"/>
    <w:bookmarkEnd w:id="1"/>
    <w:bookmarkEnd w:id="2"/>
    <w:bookmarkEnd w:id="3"/>
    <w:bookmarkEnd w:id="4"/>
    <w:bookmarkEnd w:id="5"/>
    <w:p w:rsidR="00686686" w:rsidRPr="006165AC" w:rsidRDefault="00686686" w:rsidP="00C0322C">
      <w:pPr>
        <w:jc w:val="center"/>
      </w:pPr>
      <w:r w:rsidRPr="006165AC">
        <w:object w:dxaOrig="1531"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1.75pt" o:ole="" fillcolor="window">
            <v:imagedata r:id="rId7" o:title=""/>
          </v:shape>
          <o:OLEObject Type="Embed" ProgID="Word.Picture.8" ShapeID="_x0000_i1025" DrawAspect="Content" ObjectID="_1714892120" r:id="rId8"/>
        </w:object>
      </w:r>
    </w:p>
    <w:p w:rsidR="00686686" w:rsidRPr="006165AC" w:rsidRDefault="00686686" w:rsidP="00C0322C">
      <w:pPr>
        <w:jc w:val="center"/>
        <w:rPr>
          <w:b/>
          <w:sz w:val="24"/>
        </w:rPr>
      </w:pPr>
      <w:bookmarkStart w:id="6" w:name="_Toc152063384"/>
      <w:bookmarkStart w:id="7" w:name="_Toc154214569"/>
      <w:bookmarkStart w:id="8" w:name="_Toc156036124"/>
    </w:p>
    <w:bookmarkEnd w:id="6"/>
    <w:bookmarkEnd w:id="7"/>
    <w:bookmarkEnd w:id="8"/>
    <w:p w:rsidR="00686686" w:rsidRPr="006165AC" w:rsidRDefault="00686686" w:rsidP="00C0322C">
      <w:pPr>
        <w:jc w:val="center"/>
        <w:rPr>
          <w:b/>
          <w:bCs/>
          <w:sz w:val="32"/>
          <w:szCs w:val="32"/>
        </w:rPr>
      </w:pPr>
      <w:r w:rsidRPr="006165AC">
        <w:rPr>
          <w:b/>
          <w:bCs/>
          <w:sz w:val="32"/>
          <w:szCs w:val="32"/>
        </w:rPr>
        <w:t>LABORATORNÍ PŘÍRUČKA</w:t>
      </w:r>
    </w:p>
    <w:p w:rsidR="00686686" w:rsidRDefault="00686686" w:rsidP="00736670">
      <w:pPr>
        <w:pStyle w:val="Default"/>
        <w:jc w:val="center"/>
        <w:rPr>
          <w:b/>
          <w:bCs/>
          <w:sz w:val="32"/>
          <w:szCs w:val="32"/>
        </w:rPr>
      </w:pPr>
      <w:r>
        <w:rPr>
          <w:b/>
          <w:bCs/>
          <w:sz w:val="32"/>
          <w:szCs w:val="32"/>
        </w:rPr>
        <w:t xml:space="preserve">Klinika dětské neurologie 2. LF UK a FN Motol </w:t>
      </w:r>
    </w:p>
    <w:p w:rsidR="00686686" w:rsidRPr="006165AC" w:rsidRDefault="00686686" w:rsidP="00736670">
      <w:pPr>
        <w:pStyle w:val="Default"/>
        <w:jc w:val="center"/>
        <w:rPr>
          <w:b/>
          <w:bCs/>
          <w:sz w:val="32"/>
          <w:szCs w:val="32"/>
        </w:rPr>
      </w:pPr>
      <w:r>
        <w:rPr>
          <w:b/>
          <w:bCs/>
          <w:sz w:val="32"/>
          <w:szCs w:val="32"/>
        </w:rPr>
        <w:t xml:space="preserve">– </w:t>
      </w:r>
      <w:proofErr w:type="spellStart"/>
      <w:r>
        <w:rPr>
          <w:b/>
          <w:bCs/>
          <w:sz w:val="32"/>
          <w:szCs w:val="32"/>
        </w:rPr>
        <w:t>Neurogenetická</w:t>
      </w:r>
      <w:proofErr w:type="spellEnd"/>
      <w:r>
        <w:rPr>
          <w:b/>
          <w:bCs/>
          <w:sz w:val="32"/>
          <w:szCs w:val="32"/>
        </w:rPr>
        <w:t xml:space="preserve"> laboratoř</w:t>
      </w:r>
    </w:p>
    <w:p w:rsidR="00686686" w:rsidRPr="00F72A4B" w:rsidRDefault="00686686" w:rsidP="00C0322C">
      <w:pPr>
        <w:jc w:val="center"/>
        <w:rPr>
          <w:b/>
          <w:color w:val="0070C0"/>
          <w:sz w:val="24"/>
        </w:rPr>
      </w:pPr>
      <w:r w:rsidRPr="00E91205">
        <w:rPr>
          <w:b/>
          <w:color w:val="000000"/>
          <w:sz w:val="24"/>
        </w:rPr>
        <w:t>ILP_</w:t>
      </w:r>
      <w:r>
        <w:rPr>
          <w:b/>
          <w:sz w:val="24"/>
        </w:rPr>
        <w:t>NGL_01</w:t>
      </w:r>
      <w:r>
        <w:rPr>
          <w:b/>
          <w:color w:val="000000"/>
          <w:sz w:val="24"/>
        </w:rPr>
        <w:t>/2020</w:t>
      </w:r>
      <w:r w:rsidR="001C46DC">
        <w:rPr>
          <w:b/>
          <w:color w:val="000000"/>
          <w:sz w:val="24"/>
        </w:rPr>
        <w:t xml:space="preserve"> </w:t>
      </w:r>
      <w:r w:rsidRPr="001C46DC">
        <w:rPr>
          <w:b/>
          <w:color w:val="0000FF"/>
          <w:sz w:val="24"/>
        </w:rPr>
        <w:t>-</w:t>
      </w:r>
      <w:r w:rsidR="001C46DC">
        <w:rPr>
          <w:b/>
          <w:color w:val="0000FF"/>
          <w:sz w:val="24"/>
        </w:rPr>
        <w:t xml:space="preserve"> </w:t>
      </w:r>
      <w:r w:rsidR="001C46DC" w:rsidRPr="001C46DC">
        <w:rPr>
          <w:b/>
          <w:color w:val="0000FF"/>
          <w:sz w:val="24"/>
        </w:rPr>
        <w:t>4</w:t>
      </w:r>
    </w:p>
    <w:p w:rsidR="00686686" w:rsidRPr="006165AC" w:rsidRDefault="00686686" w:rsidP="00C0322C"/>
    <w:p w:rsidR="00686686" w:rsidRPr="006165AC" w:rsidRDefault="00686686" w:rsidP="00C0322C">
      <w:r w:rsidRPr="006165AC">
        <w:rPr>
          <w:b/>
        </w:rPr>
        <w:t>Určení:</w:t>
      </w:r>
      <w:r w:rsidRPr="006165AC">
        <w:t xml:space="preserve"> </w:t>
      </w:r>
      <w:r w:rsidRPr="006165AC">
        <w:tab/>
      </w:r>
      <w:r w:rsidRPr="006165AC">
        <w:tab/>
      </w:r>
      <w:r>
        <w:t>všem</w:t>
      </w:r>
      <w:r w:rsidRPr="006165AC">
        <w:t xml:space="preserve"> pracovníkům a zákazníkům </w:t>
      </w:r>
      <w:proofErr w:type="spellStart"/>
      <w:r>
        <w:t>Neurogenetické</w:t>
      </w:r>
      <w:proofErr w:type="spellEnd"/>
      <w:r>
        <w:t xml:space="preserve"> laboratoře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2409"/>
        <w:gridCol w:w="2552"/>
        <w:gridCol w:w="3019"/>
      </w:tblGrid>
      <w:tr w:rsidR="00686686" w:rsidRPr="006165AC" w:rsidTr="00907AE9">
        <w:trPr>
          <w:trHeight w:val="735"/>
        </w:trPr>
        <w:tc>
          <w:tcPr>
            <w:tcW w:w="1630" w:type="dxa"/>
            <w:vAlign w:val="center"/>
          </w:tcPr>
          <w:p w:rsidR="00686686" w:rsidRPr="006165AC" w:rsidRDefault="00686686" w:rsidP="00907AE9">
            <w:pPr>
              <w:spacing w:line="240" w:lineRule="auto"/>
              <w:rPr>
                <w:b/>
                <w:bCs/>
              </w:rPr>
            </w:pPr>
          </w:p>
        </w:tc>
        <w:tc>
          <w:tcPr>
            <w:tcW w:w="2409" w:type="dxa"/>
            <w:vAlign w:val="center"/>
          </w:tcPr>
          <w:p w:rsidR="00686686" w:rsidRPr="006165AC" w:rsidRDefault="00686686" w:rsidP="00907AE9">
            <w:pPr>
              <w:spacing w:line="240" w:lineRule="auto"/>
              <w:jc w:val="center"/>
              <w:rPr>
                <w:b/>
                <w:bCs/>
              </w:rPr>
            </w:pPr>
            <w:r w:rsidRPr="006165AC">
              <w:rPr>
                <w:b/>
                <w:bCs/>
                <w:szCs w:val="22"/>
              </w:rPr>
              <w:t>Zpracoval:</w:t>
            </w:r>
          </w:p>
        </w:tc>
        <w:tc>
          <w:tcPr>
            <w:tcW w:w="2552" w:type="dxa"/>
            <w:vAlign w:val="center"/>
          </w:tcPr>
          <w:p w:rsidR="00686686" w:rsidRPr="006165AC" w:rsidRDefault="00686686" w:rsidP="00907AE9">
            <w:pPr>
              <w:spacing w:line="240" w:lineRule="auto"/>
              <w:jc w:val="center"/>
              <w:rPr>
                <w:b/>
              </w:rPr>
            </w:pPr>
            <w:r w:rsidRPr="006165AC">
              <w:rPr>
                <w:b/>
              </w:rPr>
              <w:t>Kontroloval:</w:t>
            </w:r>
          </w:p>
        </w:tc>
        <w:tc>
          <w:tcPr>
            <w:tcW w:w="3019" w:type="dxa"/>
            <w:vAlign w:val="center"/>
          </w:tcPr>
          <w:p w:rsidR="00686686" w:rsidRPr="006165AC" w:rsidRDefault="00686686" w:rsidP="00907AE9">
            <w:pPr>
              <w:spacing w:line="240" w:lineRule="auto"/>
              <w:jc w:val="center"/>
              <w:rPr>
                <w:b/>
                <w:bCs/>
              </w:rPr>
            </w:pPr>
            <w:r w:rsidRPr="006165AC">
              <w:rPr>
                <w:b/>
                <w:bCs/>
                <w:szCs w:val="22"/>
              </w:rPr>
              <w:t>Schválil:</w:t>
            </w:r>
          </w:p>
        </w:tc>
      </w:tr>
      <w:tr w:rsidR="00686686" w:rsidRPr="006165AC" w:rsidTr="00907AE9">
        <w:trPr>
          <w:trHeight w:val="735"/>
        </w:trPr>
        <w:tc>
          <w:tcPr>
            <w:tcW w:w="1630" w:type="dxa"/>
            <w:tcBorders>
              <w:bottom w:val="nil"/>
            </w:tcBorders>
            <w:vAlign w:val="center"/>
          </w:tcPr>
          <w:p w:rsidR="00686686" w:rsidRPr="006165AC" w:rsidRDefault="00686686" w:rsidP="00907AE9">
            <w:pPr>
              <w:spacing w:line="240" w:lineRule="auto"/>
              <w:jc w:val="left"/>
              <w:rPr>
                <w:b/>
                <w:bCs/>
              </w:rPr>
            </w:pPr>
            <w:r w:rsidRPr="006165AC">
              <w:rPr>
                <w:b/>
                <w:bCs/>
                <w:szCs w:val="22"/>
              </w:rPr>
              <w:t>Organizační celek</w:t>
            </w:r>
          </w:p>
        </w:tc>
        <w:tc>
          <w:tcPr>
            <w:tcW w:w="2409" w:type="dxa"/>
            <w:tcBorders>
              <w:bottom w:val="nil"/>
            </w:tcBorders>
            <w:vAlign w:val="center"/>
          </w:tcPr>
          <w:p w:rsidR="00686686" w:rsidRPr="006165AC" w:rsidRDefault="00686686" w:rsidP="00641C73">
            <w:pPr>
              <w:spacing w:line="240" w:lineRule="auto"/>
              <w:jc w:val="center"/>
            </w:pPr>
            <w:proofErr w:type="spellStart"/>
            <w:r>
              <w:rPr>
                <w:szCs w:val="22"/>
              </w:rPr>
              <w:t>Neurogenetická</w:t>
            </w:r>
            <w:proofErr w:type="spellEnd"/>
            <w:r>
              <w:rPr>
                <w:szCs w:val="22"/>
              </w:rPr>
              <w:t xml:space="preserve"> laboratoř</w:t>
            </w:r>
          </w:p>
        </w:tc>
        <w:tc>
          <w:tcPr>
            <w:tcW w:w="2552" w:type="dxa"/>
            <w:tcBorders>
              <w:bottom w:val="nil"/>
            </w:tcBorders>
            <w:vAlign w:val="center"/>
          </w:tcPr>
          <w:p w:rsidR="00686686" w:rsidRPr="006165AC" w:rsidRDefault="00686686" w:rsidP="00907AE9">
            <w:pPr>
              <w:spacing w:line="240" w:lineRule="auto"/>
              <w:jc w:val="center"/>
            </w:pPr>
            <w:proofErr w:type="spellStart"/>
            <w:r>
              <w:rPr>
                <w:szCs w:val="22"/>
              </w:rPr>
              <w:t>Neurogenetická</w:t>
            </w:r>
            <w:proofErr w:type="spellEnd"/>
            <w:r>
              <w:rPr>
                <w:szCs w:val="22"/>
              </w:rPr>
              <w:t xml:space="preserve"> laboratoř</w:t>
            </w:r>
          </w:p>
        </w:tc>
        <w:tc>
          <w:tcPr>
            <w:tcW w:w="3019" w:type="dxa"/>
            <w:tcBorders>
              <w:bottom w:val="nil"/>
            </w:tcBorders>
            <w:vAlign w:val="center"/>
          </w:tcPr>
          <w:p w:rsidR="00686686" w:rsidRPr="006165AC" w:rsidRDefault="00686686" w:rsidP="00907AE9">
            <w:pPr>
              <w:spacing w:line="240" w:lineRule="auto"/>
              <w:jc w:val="center"/>
            </w:pPr>
            <w:proofErr w:type="spellStart"/>
            <w:r>
              <w:rPr>
                <w:szCs w:val="22"/>
              </w:rPr>
              <w:t>Neurogenetická</w:t>
            </w:r>
            <w:proofErr w:type="spellEnd"/>
            <w:r>
              <w:rPr>
                <w:szCs w:val="22"/>
              </w:rPr>
              <w:t xml:space="preserve"> laboratoř</w:t>
            </w:r>
          </w:p>
        </w:tc>
      </w:tr>
      <w:tr w:rsidR="00686686" w:rsidRPr="006165AC" w:rsidTr="00907AE9">
        <w:trPr>
          <w:trHeight w:val="735"/>
        </w:trPr>
        <w:tc>
          <w:tcPr>
            <w:tcW w:w="1630" w:type="dxa"/>
            <w:vAlign w:val="center"/>
          </w:tcPr>
          <w:p w:rsidR="00686686" w:rsidRPr="006165AC" w:rsidRDefault="00686686" w:rsidP="00907AE9">
            <w:pPr>
              <w:spacing w:line="240" w:lineRule="auto"/>
              <w:jc w:val="left"/>
              <w:rPr>
                <w:b/>
                <w:bCs/>
              </w:rPr>
            </w:pPr>
            <w:r w:rsidRPr="006165AC">
              <w:rPr>
                <w:b/>
                <w:bCs/>
                <w:szCs w:val="22"/>
              </w:rPr>
              <w:t>Funkce</w:t>
            </w:r>
          </w:p>
        </w:tc>
        <w:tc>
          <w:tcPr>
            <w:tcW w:w="2409" w:type="dxa"/>
            <w:vAlign w:val="center"/>
          </w:tcPr>
          <w:p w:rsidR="00686686" w:rsidRPr="006165AC" w:rsidRDefault="00686686" w:rsidP="00907AE9">
            <w:pPr>
              <w:spacing w:line="240" w:lineRule="auto"/>
              <w:jc w:val="center"/>
            </w:pPr>
            <w:r>
              <w:rPr>
                <w:szCs w:val="22"/>
              </w:rPr>
              <w:t>VŠ pracovník</w:t>
            </w:r>
          </w:p>
        </w:tc>
        <w:tc>
          <w:tcPr>
            <w:tcW w:w="2552" w:type="dxa"/>
            <w:vAlign w:val="center"/>
          </w:tcPr>
          <w:p w:rsidR="00686686" w:rsidRPr="006165AC" w:rsidRDefault="00A4739D" w:rsidP="00A4739D">
            <w:pPr>
              <w:spacing w:line="240" w:lineRule="auto"/>
              <w:jc w:val="center"/>
            </w:pPr>
            <w:r>
              <w:rPr>
                <w:szCs w:val="22"/>
              </w:rPr>
              <w:t>Manažer kvality</w:t>
            </w:r>
          </w:p>
        </w:tc>
        <w:tc>
          <w:tcPr>
            <w:tcW w:w="3019" w:type="dxa"/>
            <w:vAlign w:val="center"/>
          </w:tcPr>
          <w:p w:rsidR="00686686" w:rsidRPr="006165AC" w:rsidRDefault="00686686" w:rsidP="00C0322C">
            <w:pPr>
              <w:spacing w:line="240" w:lineRule="auto"/>
              <w:jc w:val="center"/>
            </w:pPr>
            <w:r w:rsidRPr="006165AC">
              <w:rPr>
                <w:szCs w:val="22"/>
              </w:rPr>
              <w:t>Vedoucí l</w:t>
            </w:r>
            <w:r>
              <w:rPr>
                <w:szCs w:val="22"/>
              </w:rPr>
              <w:t>aboratoře</w:t>
            </w:r>
          </w:p>
        </w:tc>
      </w:tr>
      <w:tr w:rsidR="00686686" w:rsidRPr="006165AC" w:rsidTr="00907AE9">
        <w:trPr>
          <w:trHeight w:val="735"/>
        </w:trPr>
        <w:tc>
          <w:tcPr>
            <w:tcW w:w="1630" w:type="dxa"/>
            <w:vAlign w:val="center"/>
          </w:tcPr>
          <w:p w:rsidR="00686686" w:rsidRPr="006165AC" w:rsidRDefault="00686686" w:rsidP="00907AE9">
            <w:pPr>
              <w:spacing w:line="240" w:lineRule="auto"/>
              <w:jc w:val="left"/>
              <w:rPr>
                <w:b/>
              </w:rPr>
            </w:pPr>
            <w:r w:rsidRPr="006165AC">
              <w:rPr>
                <w:b/>
              </w:rPr>
              <w:t>Jméno</w:t>
            </w:r>
          </w:p>
        </w:tc>
        <w:tc>
          <w:tcPr>
            <w:tcW w:w="2409" w:type="dxa"/>
            <w:vAlign w:val="center"/>
          </w:tcPr>
          <w:p w:rsidR="00686686" w:rsidRDefault="00686686" w:rsidP="00EF4415">
            <w:pPr>
              <w:spacing w:line="240" w:lineRule="auto"/>
              <w:jc w:val="center"/>
            </w:pPr>
            <w:r w:rsidRPr="0011169E">
              <w:rPr>
                <w:szCs w:val="22"/>
              </w:rPr>
              <w:t xml:space="preserve">Ing. Lucie Sedláčková, </w:t>
            </w:r>
            <w:proofErr w:type="spellStart"/>
            <w:r w:rsidRPr="0011169E">
              <w:rPr>
                <w:szCs w:val="22"/>
              </w:rPr>
              <w:t>Ph.D</w:t>
            </w:r>
            <w:proofErr w:type="spellEnd"/>
            <w:r w:rsidRPr="0011169E">
              <w:rPr>
                <w:szCs w:val="22"/>
              </w:rPr>
              <w:t>.</w:t>
            </w:r>
          </w:p>
          <w:p w:rsidR="00686686" w:rsidRPr="006165AC" w:rsidRDefault="00686686" w:rsidP="00EF4415">
            <w:pPr>
              <w:spacing w:line="240" w:lineRule="auto"/>
              <w:jc w:val="center"/>
            </w:pPr>
            <w:r>
              <w:t xml:space="preserve">RNDr. Anna Uhrová </w:t>
            </w:r>
            <w:proofErr w:type="spellStart"/>
            <w:r>
              <w:t>Mészárosová</w:t>
            </w:r>
            <w:proofErr w:type="spellEnd"/>
            <w:r>
              <w:t xml:space="preserve">, </w:t>
            </w:r>
            <w:proofErr w:type="spellStart"/>
            <w:r>
              <w:t>Ph</w:t>
            </w:r>
            <w:r w:rsidR="004245A6">
              <w:t>.</w:t>
            </w:r>
            <w:r>
              <w:t>D</w:t>
            </w:r>
            <w:proofErr w:type="spellEnd"/>
            <w:r>
              <w:t>.</w:t>
            </w:r>
          </w:p>
        </w:tc>
        <w:tc>
          <w:tcPr>
            <w:tcW w:w="2552" w:type="dxa"/>
            <w:vAlign w:val="center"/>
          </w:tcPr>
          <w:p w:rsidR="00686686" w:rsidRPr="006165AC" w:rsidRDefault="00686686" w:rsidP="00A4739D">
            <w:pPr>
              <w:spacing w:line="240" w:lineRule="auto"/>
              <w:jc w:val="center"/>
            </w:pPr>
            <w:r w:rsidRPr="0011169E">
              <w:rPr>
                <w:szCs w:val="22"/>
              </w:rPr>
              <w:t xml:space="preserve">MUDr. </w:t>
            </w:r>
            <w:r w:rsidR="00A4739D">
              <w:rPr>
                <w:szCs w:val="22"/>
              </w:rPr>
              <w:t>Dana</w:t>
            </w:r>
            <w:r w:rsidRPr="0011169E">
              <w:rPr>
                <w:szCs w:val="22"/>
              </w:rPr>
              <w:t xml:space="preserve"> </w:t>
            </w:r>
            <w:proofErr w:type="spellStart"/>
            <w:r w:rsidR="00A4739D">
              <w:rPr>
                <w:szCs w:val="22"/>
              </w:rPr>
              <w:t>Šafka</w:t>
            </w:r>
            <w:proofErr w:type="spellEnd"/>
            <w:r w:rsidR="00A4739D">
              <w:rPr>
                <w:szCs w:val="22"/>
              </w:rPr>
              <w:t xml:space="preserve"> Brožková</w:t>
            </w:r>
            <w:r w:rsidRPr="0011169E">
              <w:rPr>
                <w:szCs w:val="22"/>
              </w:rPr>
              <w:t xml:space="preserve">, </w:t>
            </w:r>
            <w:proofErr w:type="spellStart"/>
            <w:r w:rsidRPr="0011169E">
              <w:rPr>
                <w:szCs w:val="22"/>
              </w:rPr>
              <w:t>Ph.D</w:t>
            </w:r>
            <w:proofErr w:type="spellEnd"/>
            <w:r w:rsidRPr="0011169E">
              <w:rPr>
                <w:szCs w:val="22"/>
              </w:rPr>
              <w:t>.</w:t>
            </w:r>
          </w:p>
        </w:tc>
        <w:tc>
          <w:tcPr>
            <w:tcW w:w="3019" w:type="dxa"/>
            <w:vAlign w:val="center"/>
          </w:tcPr>
          <w:p w:rsidR="00686686" w:rsidRPr="006165AC" w:rsidRDefault="00AD5F4D" w:rsidP="000A4BBC">
            <w:pPr>
              <w:spacing w:line="240" w:lineRule="auto"/>
              <w:jc w:val="center"/>
            </w:pPr>
            <w:r>
              <w:rPr>
                <w:color w:val="0000FF"/>
              </w:rPr>
              <w:t xml:space="preserve">doc. </w:t>
            </w:r>
            <w:r w:rsidR="000A4BBC" w:rsidRPr="004245A6">
              <w:rPr>
                <w:color w:val="0000FF"/>
              </w:rPr>
              <w:t xml:space="preserve">MUDr. Petra </w:t>
            </w:r>
            <w:proofErr w:type="spellStart"/>
            <w:r w:rsidR="000A4BBC" w:rsidRPr="004245A6">
              <w:rPr>
                <w:color w:val="0000FF"/>
              </w:rPr>
              <w:t>Laššuthová</w:t>
            </w:r>
            <w:proofErr w:type="spellEnd"/>
            <w:r w:rsidR="000A4BBC" w:rsidRPr="004245A6">
              <w:rPr>
                <w:color w:val="0000FF"/>
              </w:rPr>
              <w:t>,</w:t>
            </w:r>
            <w:r w:rsidR="00686686" w:rsidRPr="004245A6">
              <w:rPr>
                <w:color w:val="0000FF"/>
              </w:rPr>
              <w:t xml:space="preserve"> </w:t>
            </w:r>
            <w:proofErr w:type="spellStart"/>
            <w:r w:rsidR="00686686" w:rsidRPr="004245A6">
              <w:rPr>
                <w:color w:val="0000FF"/>
              </w:rPr>
              <w:t>Ph</w:t>
            </w:r>
            <w:r w:rsidR="004245A6">
              <w:rPr>
                <w:color w:val="0000FF"/>
              </w:rPr>
              <w:t>.</w:t>
            </w:r>
            <w:r w:rsidR="00686686" w:rsidRPr="004245A6">
              <w:rPr>
                <w:color w:val="0000FF"/>
              </w:rPr>
              <w:t>D</w:t>
            </w:r>
            <w:proofErr w:type="spellEnd"/>
            <w:r w:rsidR="00686686" w:rsidRPr="004245A6">
              <w:rPr>
                <w:color w:val="0000FF"/>
              </w:rPr>
              <w:t>.</w:t>
            </w:r>
          </w:p>
        </w:tc>
      </w:tr>
    </w:tbl>
    <w:p w:rsidR="00686686" w:rsidRPr="006165AC" w:rsidRDefault="00686686" w:rsidP="00C0322C">
      <w:pPr>
        <w:pStyle w:val="Zpat"/>
        <w:tabs>
          <w:tab w:val="clear" w:pos="4536"/>
          <w:tab w:val="clear" w:pos="9072"/>
        </w:tabs>
      </w:pPr>
    </w:p>
    <w:p w:rsidR="00686686" w:rsidRPr="006165AC" w:rsidRDefault="00686686" w:rsidP="00C0322C">
      <w:r w:rsidRPr="006165AC">
        <w:rPr>
          <w:b/>
        </w:rPr>
        <w:t>Účinnost laboratorní příručky od:</w:t>
      </w:r>
      <w:r w:rsidR="006150E5">
        <w:tab/>
      </w:r>
      <w:r w:rsidR="00BD672B">
        <w:t>0</w:t>
      </w:r>
      <w:r w:rsidR="006150E5">
        <w:t xml:space="preserve">1. </w:t>
      </w:r>
      <w:r w:rsidR="00BD672B">
        <w:t>0</w:t>
      </w:r>
      <w:r w:rsidR="006150E5">
        <w:t>9</w:t>
      </w:r>
      <w:r>
        <w:t>. 2020</w:t>
      </w:r>
    </w:p>
    <w:p w:rsidR="00AD5F4D" w:rsidRDefault="00686686" w:rsidP="00C0322C">
      <w:pPr>
        <w:rPr>
          <w:color w:val="0000FF"/>
          <w:highlight w:val="yellow"/>
        </w:rPr>
      </w:pPr>
      <w:r w:rsidRPr="006165AC">
        <w:rPr>
          <w:b/>
        </w:rPr>
        <w:t>Účinnost této verze od:</w:t>
      </w:r>
      <w:r w:rsidRPr="006165AC">
        <w:t xml:space="preserve"> </w:t>
      </w:r>
      <w:r w:rsidRPr="006165AC">
        <w:tab/>
      </w:r>
      <w:r w:rsidRPr="006165AC">
        <w:tab/>
      </w:r>
      <w:r w:rsidR="00AD5F4D" w:rsidRPr="00AD5F4D">
        <w:rPr>
          <w:color w:val="0000FF"/>
        </w:rPr>
        <w:t>17</w:t>
      </w:r>
      <w:r w:rsidRPr="00AD5F4D">
        <w:rPr>
          <w:color w:val="0000FF"/>
        </w:rPr>
        <w:t xml:space="preserve">. </w:t>
      </w:r>
      <w:r w:rsidR="004245A6" w:rsidRPr="00AD5F4D">
        <w:rPr>
          <w:color w:val="0000FF"/>
        </w:rPr>
        <w:t>0</w:t>
      </w:r>
      <w:r w:rsidR="00AD5F4D" w:rsidRPr="00AD5F4D">
        <w:rPr>
          <w:color w:val="0000FF"/>
        </w:rPr>
        <w:t>3. 2022</w:t>
      </w:r>
    </w:p>
    <w:p w:rsidR="00686686" w:rsidRPr="006165AC" w:rsidRDefault="00686686" w:rsidP="00C0322C">
      <w:r w:rsidRPr="006165AC">
        <w:rPr>
          <w:b/>
        </w:rPr>
        <w:t>Doba platnosti:</w:t>
      </w:r>
      <w:r w:rsidRPr="006165AC">
        <w:tab/>
      </w:r>
      <w:r w:rsidRPr="006165AC">
        <w:tab/>
      </w:r>
      <w:r w:rsidRPr="006165AC">
        <w:tab/>
        <w:t>bez omezení, revize 1x ročně</w:t>
      </w:r>
    </w:p>
    <w:p w:rsidR="00686686" w:rsidRPr="006165AC" w:rsidRDefault="00686686" w:rsidP="00C0322C">
      <w:r w:rsidRPr="006165AC">
        <w:rPr>
          <w:b/>
        </w:rPr>
        <w:t>Verze:</w:t>
      </w:r>
      <w:r w:rsidRPr="006165AC">
        <w:t xml:space="preserve"> </w:t>
      </w:r>
      <w:r w:rsidRPr="006165AC">
        <w:tab/>
      </w:r>
      <w:r w:rsidRPr="006165AC">
        <w:tab/>
      </w:r>
      <w:r w:rsidRPr="006165AC">
        <w:tab/>
      </w:r>
      <w:r w:rsidRPr="006165AC">
        <w:tab/>
      </w:r>
      <w:r w:rsidRPr="006165AC">
        <w:tab/>
      </w:r>
      <w:r w:rsidR="001C46DC">
        <w:rPr>
          <w:color w:val="0000FF"/>
        </w:rPr>
        <w:t>4</w:t>
      </w:r>
    </w:p>
    <w:p w:rsidR="00686686" w:rsidRPr="006165AC" w:rsidRDefault="00686686" w:rsidP="00C0322C">
      <w:r w:rsidRPr="006165AC">
        <w:rPr>
          <w:b/>
        </w:rPr>
        <w:t>Počet stran dokumentu:</w:t>
      </w:r>
      <w:r w:rsidRPr="006165AC">
        <w:tab/>
      </w:r>
      <w:r w:rsidRPr="006165AC">
        <w:tab/>
      </w:r>
      <w:r>
        <w:t>19</w:t>
      </w:r>
    </w:p>
    <w:p w:rsidR="00686686" w:rsidRPr="006165AC" w:rsidRDefault="00686686" w:rsidP="00C0322C">
      <w:r w:rsidRPr="006165AC">
        <w:rPr>
          <w:b/>
        </w:rPr>
        <w:t>Počet příloh:</w:t>
      </w:r>
      <w:r w:rsidRPr="006165AC">
        <w:tab/>
      </w:r>
      <w:r w:rsidRPr="006165AC">
        <w:tab/>
      </w:r>
      <w:r w:rsidRPr="006165AC">
        <w:tab/>
      </w:r>
      <w:r w:rsidRPr="006165AC">
        <w:tab/>
      </w:r>
      <w:r>
        <w:t>1</w:t>
      </w:r>
    </w:p>
    <w:p w:rsidR="00686686" w:rsidRDefault="00686686" w:rsidP="00C0322C">
      <w:r w:rsidRPr="006165AC">
        <w:rPr>
          <w:b/>
        </w:rPr>
        <w:t>Vazba na akreditační standardy:</w:t>
      </w:r>
      <w:r w:rsidR="004245A6">
        <w:t xml:space="preserve"> </w:t>
      </w:r>
      <w:r w:rsidR="004245A6">
        <w:tab/>
        <w:t>ČSN EN ISO 15189</w:t>
      </w:r>
    </w:p>
    <w:p w:rsidR="00686686" w:rsidRDefault="00686686" w:rsidP="00C0322C">
      <w:r w:rsidRPr="005561C8">
        <w:rPr>
          <w:b/>
        </w:rPr>
        <w:t>Umístění podepsaného výtisku:</w:t>
      </w:r>
      <w:r>
        <w:tab/>
        <w:t>Manažer kvality</w:t>
      </w:r>
    </w:p>
    <w:p w:rsidR="00546541" w:rsidRPr="00546541" w:rsidRDefault="00686686" w:rsidP="0077319F">
      <w:r w:rsidRPr="006165AC">
        <w:rPr>
          <w:b/>
        </w:rPr>
        <w:t>Umístění dokumentu:</w:t>
      </w:r>
      <w:r>
        <w:tab/>
      </w:r>
      <w:r>
        <w:tab/>
      </w:r>
      <w:r>
        <w:tab/>
      </w:r>
      <w:hyperlink r:id="rId9" w:history="1">
        <w:r w:rsidR="00ED7A57" w:rsidRPr="00ED7A57">
          <w:rPr>
            <w:rStyle w:val="Hypertextovodkaz"/>
            <w:szCs w:val="22"/>
          </w:rPr>
          <w:t>https://www.fnmotol.cz/neurogeneticka-laborator/</w:t>
        </w:r>
      </w:hyperlink>
    </w:p>
    <w:p w:rsidR="00686686" w:rsidRDefault="00686686" w:rsidP="00C0322C">
      <w:r w:rsidRPr="006165AC">
        <w:tab/>
      </w:r>
      <w:r w:rsidRPr="006165AC">
        <w:tab/>
      </w:r>
      <w:r w:rsidRPr="006165AC">
        <w:tab/>
      </w:r>
      <w:r w:rsidRPr="006165AC">
        <w:tab/>
      </w:r>
      <w:r w:rsidRPr="006165AC">
        <w:tab/>
      </w:r>
      <w:proofErr w:type="spellStart"/>
      <w:r w:rsidRPr="006165AC">
        <w:t>LotusLab</w:t>
      </w:r>
      <w:proofErr w:type="spellEnd"/>
    </w:p>
    <w:p w:rsidR="00686686" w:rsidRDefault="00686686" w:rsidP="00C0322C">
      <w:r>
        <w:tab/>
      </w:r>
      <w:r>
        <w:tab/>
      </w:r>
      <w:r>
        <w:tab/>
      </w:r>
      <w:r>
        <w:tab/>
      </w:r>
      <w:r>
        <w:tab/>
      </w:r>
    </w:p>
    <w:p w:rsidR="00686686" w:rsidRDefault="00686686" w:rsidP="00C0322C"/>
    <w:p w:rsidR="00686686" w:rsidRDefault="00686686" w:rsidP="00C0322C"/>
    <w:p w:rsidR="00686686" w:rsidRDefault="00686686" w:rsidP="00C0322C"/>
    <w:p w:rsidR="00686686" w:rsidRPr="006165AC" w:rsidRDefault="00686686" w:rsidP="00C0322C"/>
    <w:p w:rsidR="00686686" w:rsidRPr="006165AC" w:rsidRDefault="00686686" w:rsidP="001D6621">
      <w:pPr>
        <w:ind w:left="2124" w:firstLine="708"/>
        <w:jc w:val="left"/>
        <w:rPr>
          <w:b/>
        </w:rPr>
      </w:pPr>
      <w:bookmarkStart w:id="9" w:name="_Toc147653066"/>
      <w:bookmarkStart w:id="10" w:name="_Toc147653375"/>
      <w:bookmarkStart w:id="11" w:name="_Toc152063386"/>
      <w:bookmarkStart w:id="12" w:name="_Toc154214571"/>
      <w:bookmarkStart w:id="13" w:name="_Toc156036126"/>
      <w:r w:rsidRPr="006165AC">
        <w:rPr>
          <w:b/>
        </w:rPr>
        <w:t>List provedených revizí a změn</w:t>
      </w:r>
      <w:bookmarkEnd w:id="9"/>
      <w:bookmarkEnd w:id="10"/>
      <w:bookmarkEnd w:id="11"/>
      <w:bookmarkEnd w:id="12"/>
      <w:bookmarkEnd w:id="13"/>
    </w:p>
    <w:tbl>
      <w:tblPr>
        <w:tblW w:w="93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1247"/>
        <w:gridCol w:w="3232"/>
        <w:gridCol w:w="1247"/>
        <w:gridCol w:w="2381"/>
      </w:tblGrid>
      <w:tr w:rsidR="00686686" w:rsidRPr="006165AC" w:rsidTr="00907AE9">
        <w:trPr>
          <w:cantSplit/>
          <w:trHeight w:val="567"/>
        </w:trPr>
        <w:tc>
          <w:tcPr>
            <w:tcW w:w="1247" w:type="dxa"/>
          </w:tcPr>
          <w:p w:rsidR="00686686" w:rsidRPr="006165AC" w:rsidRDefault="00686686" w:rsidP="00907AE9">
            <w:pPr>
              <w:spacing w:line="240" w:lineRule="auto"/>
              <w:jc w:val="center"/>
              <w:rPr>
                <w:b/>
              </w:rPr>
            </w:pPr>
            <w:r w:rsidRPr="006165AC">
              <w:rPr>
                <w:b/>
              </w:rPr>
              <w:t>Změna č.</w:t>
            </w:r>
          </w:p>
        </w:tc>
        <w:tc>
          <w:tcPr>
            <w:tcW w:w="1247" w:type="dxa"/>
          </w:tcPr>
          <w:p w:rsidR="00686686" w:rsidRPr="006165AC" w:rsidRDefault="00686686" w:rsidP="00907AE9">
            <w:pPr>
              <w:spacing w:line="240" w:lineRule="auto"/>
              <w:jc w:val="center"/>
              <w:rPr>
                <w:b/>
              </w:rPr>
            </w:pPr>
            <w:r w:rsidRPr="006165AC">
              <w:rPr>
                <w:b/>
              </w:rPr>
              <w:t>Umístění změny</w:t>
            </w:r>
          </w:p>
        </w:tc>
        <w:tc>
          <w:tcPr>
            <w:tcW w:w="3232" w:type="dxa"/>
          </w:tcPr>
          <w:p w:rsidR="00686686" w:rsidRPr="006165AC" w:rsidRDefault="00686686" w:rsidP="00907AE9">
            <w:pPr>
              <w:spacing w:line="240" w:lineRule="auto"/>
              <w:jc w:val="center"/>
              <w:rPr>
                <w:b/>
              </w:rPr>
            </w:pPr>
            <w:r w:rsidRPr="006165AC">
              <w:rPr>
                <w:b/>
              </w:rPr>
              <w:t>Popis provedené změny</w:t>
            </w:r>
          </w:p>
        </w:tc>
        <w:tc>
          <w:tcPr>
            <w:tcW w:w="1247" w:type="dxa"/>
          </w:tcPr>
          <w:p w:rsidR="00686686" w:rsidRPr="006165AC" w:rsidRDefault="00686686" w:rsidP="00907AE9">
            <w:pPr>
              <w:spacing w:line="240" w:lineRule="auto"/>
              <w:jc w:val="center"/>
              <w:rPr>
                <w:b/>
              </w:rPr>
            </w:pPr>
            <w:r w:rsidRPr="006165AC">
              <w:rPr>
                <w:b/>
              </w:rPr>
              <w:t>Datum účinnosti</w:t>
            </w:r>
          </w:p>
        </w:tc>
        <w:tc>
          <w:tcPr>
            <w:tcW w:w="2381" w:type="dxa"/>
          </w:tcPr>
          <w:p w:rsidR="00686686" w:rsidRPr="006165AC" w:rsidRDefault="00686686" w:rsidP="00907AE9">
            <w:pPr>
              <w:spacing w:line="240" w:lineRule="auto"/>
              <w:jc w:val="center"/>
              <w:rPr>
                <w:b/>
              </w:rPr>
            </w:pPr>
            <w:r w:rsidRPr="006165AC">
              <w:rPr>
                <w:b/>
              </w:rPr>
              <w:t>Odpovědná osoba</w:t>
            </w:r>
          </w:p>
        </w:tc>
      </w:tr>
      <w:tr w:rsidR="00686686" w:rsidRPr="006165AC" w:rsidTr="00907AE9">
        <w:trPr>
          <w:cantSplit/>
          <w:trHeight w:val="567"/>
        </w:trPr>
        <w:tc>
          <w:tcPr>
            <w:tcW w:w="1247" w:type="dxa"/>
          </w:tcPr>
          <w:p w:rsidR="00686686" w:rsidRPr="00727B7A" w:rsidRDefault="00D37C8B" w:rsidP="00907AE9">
            <w:pPr>
              <w:spacing w:line="240" w:lineRule="auto"/>
              <w:jc w:val="center"/>
            </w:pPr>
            <w:r w:rsidRPr="00727B7A">
              <w:t>1</w:t>
            </w:r>
          </w:p>
        </w:tc>
        <w:tc>
          <w:tcPr>
            <w:tcW w:w="1247" w:type="dxa"/>
          </w:tcPr>
          <w:p w:rsidR="00686686" w:rsidRPr="00727B7A" w:rsidRDefault="00D37C8B" w:rsidP="00907AE9">
            <w:pPr>
              <w:spacing w:line="240" w:lineRule="auto"/>
              <w:jc w:val="center"/>
            </w:pPr>
            <w:r w:rsidRPr="00727B7A">
              <w:t>Příloha č. 1</w:t>
            </w:r>
          </w:p>
        </w:tc>
        <w:tc>
          <w:tcPr>
            <w:tcW w:w="3232" w:type="dxa"/>
          </w:tcPr>
          <w:p w:rsidR="00686686" w:rsidRPr="00727B7A" w:rsidRDefault="00D37C8B" w:rsidP="00907AE9">
            <w:pPr>
              <w:spacing w:line="240" w:lineRule="auto"/>
              <w:jc w:val="center"/>
            </w:pPr>
            <w:r w:rsidRPr="00727B7A">
              <w:t>Doplněn seznam nabízených vyšetření u onemocnění HSP</w:t>
            </w:r>
          </w:p>
        </w:tc>
        <w:tc>
          <w:tcPr>
            <w:tcW w:w="1247" w:type="dxa"/>
          </w:tcPr>
          <w:p w:rsidR="00686686" w:rsidRPr="00727B7A" w:rsidRDefault="00D37C8B" w:rsidP="00907AE9">
            <w:pPr>
              <w:spacing w:line="240" w:lineRule="auto"/>
              <w:jc w:val="center"/>
            </w:pPr>
            <w:r w:rsidRPr="00727B7A">
              <w:t>12.11.2020</w:t>
            </w:r>
          </w:p>
        </w:tc>
        <w:tc>
          <w:tcPr>
            <w:tcW w:w="2381" w:type="dxa"/>
          </w:tcPr>
          <w:p w:rsidR="00686686" w:rsidRPr="00727B7A" w:rsidRDefault="00D37C8B" w:rsidP="00907AE9">
            <w:pPr>
              <w:spacing w:line="240" w:lineRule="auto"/>
              <w:jc w:val="center"/>
            </w:pPr>
            <w:r w:rsidRPr="00727B7A">
              <w:t xml:space="preserve">MUDr. Dana </w:t>
            </w:r>
            <w:proofErr w:type="spellStart"/>
            <w:r w:rsidRPr="00727B7A">
              <w:t>Šafka</w:t>
            </w:r>
            <w:proofErr w:type="spellEnd"/>
            <w:r w:rsidRPr="00727B7A">
              <w:t xml:space="preserve"> Brožková, </w:t>
            </w:r>
            <w:proofErr w:type="spellStart"/>
            <w:r w:rsidRPr="00727B7A">
              <w:t>Ph.D</w:t>
            </w:r>
            <w:proofErr w:type="spellEnd"/>
            <w:r w:rsidRPr="00727B7A">
              <w:t>.</w:t>
            </w:r>
          </w:p>
        </w:tc>
      </w:tr>
      <w:tr w:rsidR="00686686" w:rsidRPr="006165AC" w:rsidTr="00907AE9">
        <w:trPr>
          <w:cantSplit/>
          <w:trHeight w:val="567"/>
        </w:trPr>
        <w:tc>
          <w:tcPr>
            <w:tcW w:w="1247" w:type="dxa"/>
          </w:tcPr>
          <w:p w:rsidR="00686686" w:rsidRPr="00727B7A" w:rsidRDefault="000A4BBC" w:rsidP="00907AE9">
            <w:pPr>
              <w:spacing w:line="240" w:lineRule="auto"/>
              <w:jc w:val="center"/>
            </w:pPr>
            <w:r w:rsidRPr="00727B7A">
              <w:t>2</w:t>
            </w:r>
          </w:p>
        </w:tc>
        <w:tc>
          <w:tcPr>
            <w:tcW w:w="1247" w:type="dxa"/>
          </w:tcPr>
          <w:p w:rsidR="00686686" w:rsidRPr="00727B7A" w:rsidRDefault="000A4BBC" w:rsidP="00907AE9">
            <w:pPr>
              <w:spacing w:line="240" w:lineRule="auto"/>
              <w:jc w:val="center"/>
            </w:pPr>
            <w:r w:rsidRPr="00727B7A">
              <w:t>Celý dokument</w:t>
            </w:r>
          </w:p>
        </w:tc>
        <w:tc>
          <w:tcPr>
            <w:tcW w:w="3232" w:type="dxa"/>
          </w:tcPr>
          <w:p w:rsidR="00686686" w:rsidRPr="00727B7A" w:rsidRDefault="000A4BBC" w:rsidP="00907AE9">
            <w:pPr>
              <w:spacing w:line="240" w:lineRule="auto"/>
              <w:jc w:val="center"/>
            </w:pPr>
            <w:r w:rsidRPr="00727B7A">
              <w:t>Změněno personální obsazení laboratoře</w:t>
            </w:r>
          </w:p>
        </w:tc>
        <w:tc>
          <w:tcPr>
            <w:tcW w:w="1247" w:type="dxa"/>
          </w:tcPr>
          <w:p w:rsidR="00686686" w:rsidRPr="00727B7A" w:rsidRDefault="004245A6" w:rsidP="00907AE9">
            <w:pPr>
              <w:spacing w:line="240" w:lineRule="auto"/>
              <w:jc w:val="center"/>
            </w:pPr>
            <w:r w:rsidRPr="00727B7A">
              <w:rPr>
                <w:szCs w:val="22"/>
              </w:rPr>
              <w:t>01.07.2021</w:t>
            </w:r>
          </w:p>
        </w:tc>
        <w:tc>
          <w:tcPr>
            <w:tcW w:w="2381" w:type="dxa"/>
          </w:tcPr>
          <w:p w:rsidR="00686686" w:rsidRPr="00727B7A" w:rsidRDefault="004245A6" w:rsidP="00907AE9">
            <w:pPr>
              <w:spacing w:line="240" w:lineRule="auto"/>
              <w:jc w:val="center"/>
            </w:pPr>
            <w:r w:rsidRPr="00727B7A">
              <w:t xml:space="preserve">MUDr. Dana </w:t>
            </w:r>
            <w:proofErr w:type="spellStart"/>
            <w:r w:rsidRPr="00727B7A">
              <w:t>Šafka</w:t>
            </w:r>
            <w:proofErr w:type="spellEnd"/>
            <w:r w:rsidRPr="00727B7A">
              <w:t xml:space="preserve"> Brožková, </w:t>
            </w:r>
            <w:proofErr w:type="spellStart"/>
            <w:r w:rsidRPr="00727B7A">
              <w:t>Ph.D</w:t>
            </w:r>
            <w:proofErr w:type="spellEnd"/>
            <w:r w:rsidRPr="00727B7A">
              <w:t>.</w:t>
            </w:r>
          </w:p>
        </w:tc>
      </w:tr>
      <w:tr w:rsidR="00AD5F4D" w:rsidRPr="006165AC" w:rsidTr="00907AE9">
        <w:trPr>
          <w:cantSplit/>
          <w:trHeight w:val="567"/>
        </w:trPr>
        <w:tc>
          <w:tcPr>
            <w:tcW w:w="1247" w:type="dxa"/>
          </w:tcPr>
          <w:p w:rsidR="00AD5F4D" w:rsidRPr="0054621A" w:rsidRDefault="00AD5F4D" w:rsidP="00AD5F4D">
            <w:pPr>
              <w:spacing w:line="240" w:lineRule="auto"/>
              <w:jc w:val="center"/>
              <w:rPr>
                <w:color w:val="0000FF"/>
              </w:rPr>
            </w:pPr>
            <w:r w:rsidRPr="0054621A">
              <w:rPr>
                <w:color w:val="0000FF"/>
              </w:rPr>
              <w:t>3</w:t>
            </w:r>
          </w:p>
        </w:tc>
        <w:tc>
          <w:tcPr>
            <w:tcW w:w="1247" w:type="dxa"/>
          </w:tcPr>
          <w:p w:rsidR="00AD5F4D" w:rsidRPr="0054621A" w:rsidRDefault="00AD5F4D" w:rsidP="00AD5F4D">
            <w:pPr>
              <w:spacing w:line="240" w:lineRule="auto"/>
              <w:jc w:val="center"/>
              <w:rPr>
                <w:color w:val="0000FF"/>
              </w:rPr>
            </w:pPr>
            <w:r w:rsidRPr="0054621A">
              <w:rPr>
                <w:color w:val="0000FF"/>
              </w:rPr>
              <w:t>Příloha č. 1</w:t>
            </w:r>
          </w:p>
        </w:tc>
        <w:tc>
          <w:tcPr>
            <w:tcW w:w="3232" w:type="dxa"/>
          </w:tcPr>
          <w:p w:rsidR="00AD5F4D" w:rsidRPr="0054621A" w:rsidRDefault="00AD5F4D" w:rsidP="00AD5F4D">
            <w:pPr>
              <w:spacing w:line="240" w:lineRule="auto"/>
              <w:jc w:val="center"/>
              <w:rPr>
                <w:color w:val="0000FF"/>
              </w:rPr>
            </w:pPr>
            <w:r w:rsidRPr="0054621A">
              <w:rPr>
                <w:color w:val="0000FF"/>
              </w:rPr>
              <w:t xml:space="preserve">Doplněn </w:t>
            </w:r>
            <w:r>
              <w:rPr>
                <w:color w:val="0000FF"/>
              </w:rPr>
              <w:t xml:space="preserve">flexibilní </w:t>
            </w:r>
            <w:r w:rsidRPr="0054621A">
              <w:rPr>
                <w:color w:val="0000FF"/>
              </w:rPr>
              <w:t>rozsah akreditace</w:t>
            </w:r>
          </w:p>
        </w:tc>
        <w:tc>
          <w:tcPr>
            <w:tcW w:w="1247" w:type="dxa"/>
          </w:tcPr>
          <w:p w:rsidR="00AD5F4D" w:rsidRPr="001C46DC" w:rsidRDefault="00AD5F4D" w:rsidP="00AD5F4D">
            <w:pPr>
              <w:spacing w:line="240" w:lineRule="auto"/>
              <w:jc w:val="center"/>
              <w:rPr>
                <w:color w:val="0000FF"/>
              </w:rPr>
            </w:pPr>
            <w:r>
              <w:rPr>
                <w:color w:val="0000FF"/>
              </w:rPr>
              <w:t>17. 03. 2022</w:t>
            </w:r>
          </w:p>
        </w:tc>
        <w:tc>
          <w:tcPr>
            <w:tcW w:w="2381" w:type="dxa"/>
          </w:tcPr>
          <w:p w:rsidR="00AD5F4D" w:rsidRPr="000A4BBC" w:rsidRDefault="00AD5F4D" w:rsidP="00AD5F4D">
            <w:pPr>
              <w:spacing w:line="240" w:lineRule="auto"/>
              <w:jc w:val="center"/>
              <w:rPr>
                <w:color w:val="0000FF"/>
              </w:rPr>
            </w:pPr>
            <w:r w:rsidRPr="000A4BBC">
              <w:rPr>
                <w:color w:val="0000FF"/>
              </w:rPr>
              <w:t xml:space="preserve">MUDr. Dana </w:t>
            </w:r>
            <w:proofErr w:type="spellStart"/>
            <w:r w:rsidRPr="000A4BBC">
              <w:rPr>
                <w:color w:val="0000FF"/>
              </w:rPr>
              <w:t>Šafka</w:t>
            </w:r>
            <w:proofErr w:type="spellEnd"/>
            <w:r w:rsidRPr="000A4BBC">
              <w:rPr>
                <w:color w:val="0000FF"/>
              </w:rPr>
              <w:t xml:space="preserve"> Brožková, </w:t>
            </w:r>
            <w:proofErr w:type="spellStart"/>
            <w:r w:rsidRPr="000A4BBC">
              <w:rPr>
                <w:color w:val="0000FF"/>
              </w:rPr>
              <w:t>Ph.D</w:t>
            </w:r>
            <w:proofErr w:type="spellEnd"/>
            <w:r w:rsidRPr="000A4BBC">
              <w:rPr>
                <w:color w:val="0000FF"/>
              </w:rPr>
              <w:t>.</w:t>
            </w:r>
          </w:p>
        </w:tc>
      </w:tr>
      <w:tr w:rsidR="00AD5F4D" w:rsidRPr="006165AC" w:rsidTr="00907AE9">
        <w:trPr>
          <w:cantSplit/>
          <w:trHeight w:val="567"/>
        </w:trPr>
        <w:tc>
          <w:tcPr>
            <w:tcW w:w="1247" w:type="dxa"/>
          </w:tcPr>
          <w:p w:rsidR="00AD5F4D" w:rsidRPr="00AE7F8B" w:rsidRDefault="00AD5F4D" w:rsidP="00AD5F4D">
            <w:pPr>
              <w:spacing w:line="240" w:lineRule="auto"/>
              <w:jc w:val="center"/>
              <w:rPr>
                <w:color w:val="0000FF"/>
              </w:rPr>
            </w:pPr>
            <w:r w:rsidRPr="00AE7F8B">
              <w:rPr>
                <w:color w:val="0000FF"/>
              </w:rPr>
              <w:t>4</w:t>
            </w:r>
          </w:p>
        </w:tc>
        <w:tc>
          <w:tcPr>
            <w:tcW w:w="1247" w:type="dxa"/>
          </w:tcPr>
          <w:p w:rsidR="00AD5F4D" w:rsidRPr="00AE7F8B" w:rsidRDefault="00AD5F4D" w:rsidP="00AD5F4D">
            <w:pPr>
              <w:spacing w:line="240" w:lineRule="auto"/>
              <w:jc w:val="center"/>
              <w:rPr>
                <w:color w:val="0000FF"/>
              </w:rPr>
            </w:pPr>
            <w:r w:rsidRPr="00AE7F8B">
              <w:rPr>
                <w:color w:val="0000FF"/>
              </w:rPr>
              <w:t>Celý dokument</w:t>
            </w:r>
          </w:p>
        </w:tc>
        <w:tc>
          <w:tcPr>
            <w:tcW w:w="3232" w:type="dxa"/>
          </w:tcPr>
          <w:p w:rsidR="00AD5F4D" w:rsidRPr="00AE7F8B" w:rsidRDefault="00AD5F4D" w:rsidP="00AD5F4D">
            <w:pPr>
              <w:spacing w:line="240" w:lineRule="auto"/>
              <w:jc w:val="center"/>
              <w:rPr>
                <w:color w:val="0000FF"/>
              </w:rPr>
            </w:pPr>
            <w:r w:rsidRPr="00AE7F8B">
              <w:rPr>
                <w:color w:val="0000FF"/>
              </w:rPr>
              <w:t>Doplněni garanti pro flexibilní rozsah akreditace</w:t>
            </w:r>
          </w:p>
        </w:tc>
        <w:tc>
          <w:tcPr>
            <w:tcW w:w="1247" w:type="dxa"/>
          </w:tcPr>
          <w:p w:rsidR="00AD5F4D" w:rsidRPr="00AD5F4D" w:rsidRDefault="00AD5F4D" w:rsidP="00AD5F4D">
            <w:pPr>
              <w:spacing w:line="240" w:lineRule="auto"/>
              <w:jc w:val="center"/>
              <w:rPr>
                <w:b/>
                <w:color w:val="0000FF"/>
              </w:rPr>
            </w:pPr>
            <w:r>
              <w:rPr>
                <w:color w:val="0000FF"/>
              </w:rPr>
              <w:t>17. 03. 2022</w:t>
            </w:r>
          </w:p>
        </w:tc>
        <w:tc>
          <w:tcPr>
            <w:tcW w:w="2381" w:type="dxa"/>
          </w:tcPr>
          <w:p w:rsidR="00AD5F4D" w:rsidRPr="000A4BBC" w:rsidRDefault="00345F17" w:rsidP="00AD5F4D">
            <w:pPr>
              <w:spacing w:line="240" w:lineRule="auto"/>
              <w:jc w:val="center"/>
              <w:rPr>
                <w:color w:val="0000FF"/>
              </w:rPr>
            </w:pPr>
            <w:r w:rsidRPr="000A4BBC">
              <w:rPr>
                <w:color w:val="0000FF"/>
              </w:rPr>
              <w:t xml:space="preserve">MUDr. Dana </w:t>
            </w:r>
            <w:proofErr w:type="spellStart"/>
            <w:r w:rsidRPr="000A4BBC">
              <w:rPr>
                <w:color w:val="0000FF"/>
              </w:rPr>
              <w:t>Šafka</w:t>
            </w:r>
            <w:proofErr w:type="spellEnd"/>
            <w:r w:rsidRPr="000A4BBC">
              <w:rPr>
                <w:color w:val="0000FF"/>
              </w:rPr>
              <w:t xml:space="preserve"> Brožková, </w:t>
            </w:r>
            <w:proofErr w:type="spellStart"/>
            <w:r w:rsidRPr="000A4BBC">
              <w:rPr>
                <w:color w:val="0000FF"/>
              </w:rPr>
              <w:t>Ph.D</w:t>
            </w:r>
            <w:proofErr w:type="spellEnd"/>
            <w:r w:rsidRPr="000A4BBC">
              <w:rPr>
                <w:color w:val="0000FF"/>
              </w:rPr>
              <w:t>.</w:t>
            </w:r>
          </w:p>
        </w:tc>
      </w:tr>
      <w:tr w:rsidR="00AD5F4D" w:rsidRPr="006165AC" w:rsidTr="00907AE9">
        <w:trPr>
          <w:cantSplit/>
          <w:trHeight w:val="567"/>
        </w:trPr>
        <w:tc>
          <w:tcPr>
            <w:tcW w:w="1247" w:type="dxa"/>
          </w:tcPr>
          <w:p w:rsidR="00AD5F4D" w:rsidRPr="00345F17" w:rsidRDefault="00345F17" w:rsidP="00AD5F4D">
            <w:pPr>
              <w:spacing w:line="240" w:lineRule="auto"/>
              <w:jc w:val="center"/>
              <w:rPr>
                <w:color w:val="0000FF"/>
              </w:rPr>
            </w:pPr>
            <w:r w:rsidRPr="00345F17">
              <w:rPr>
                <w:color w:val="0000FF"/>
              </w:rPr>
              <w:t>5</w:t>
            </w:r>
          </w:p>
        </w:tc>
        <w:tc>
          <w:tcPr>
            <w:tcW w:w="1247" w:type="dxa"/>
          </w:tcPr>
          <w:p w:rsidR="00AD5F4D" w:rsidRPr="00345F17" w:rsidRDefault="00345F17" w:rsidP="00AD5F4D">
            <w:pPr>
              <w:spacing w:line="240" w:lineRule="auto"/>
              <w:jc w:val="center"/>
              <w:rPr>
                <w:color w:val="0000FF"/>
              </w:rPr>
            </w:pPr>
            <w:r w:rsidRPr="00345F17">
              <w:rPr>
                <w:color w:val="0000FF"/>
              </w:rPr>
              <w:t>Příloha č. 1</w:t>
            </w:r>
          </w:p>
        </w:tc>
        <w:tc>
          <w:tcPr>
            <w:tcW w:w="3232" w:type="dxa"/>
          </w:tcPr>
          <w:p w:rsidR="00AD5F4D" w:rsidRPr="00345F17" w:rsidRDefault="00345F17" w:rsidP="00AD5F4D">
            <w:pPr>
              <w:spacing w:line="240" w:lineRule="auto"/>
              <w:jc w:val="center"/>
              <w:rPr>
                <w:color w:val="0000FF"/>
              </w:rPr>
            </w:pPr>
            <w:r w:rsidRPr="00345F17">
              <w:rPr>
                <w:color w:val="0000FF"/>
              </w:rPr>
              <w:t>Doplněn seznam vyšetřovaných genů</w:t>
            </w:r>
          </w:p>
        </w:tc>
        <w:tc>
          <w:tcPr>
            <w:tcW w:w="1247" w:type="dxa"/>
          </w:tcPr>
          <w:p w:rsidR="00AD5F4D" w:rsidRPr="006165AC" w:rsidRDefault="00345F17" w:rsidP="00AD5F4D">
            <w:pPr>
              <w:spacing w:line="240" w:lineRule="auto"/>
              <w:jc w:val="center"/>
            </w:pPr>
            <w:r>
              <w:rPr>
                <w:color w:val="0000FF"/>
              </w:rPr>
              <w:t>17. 03. 2022</w:t>
            </w:r>
          </w:p>
        </w:tc>
        <w:tc>
          <w:tcPr>
            <w:tcW w:w="2381" w:type="dxa"/>
          </w:tcPr>
          <w:p w:rsidR="00AD5F4D" w:rsidRPr="006165AC" w:rsidRDefault="00345F17" w:rsidP="00AD5F4D">
            <w:pPr>
              <w:spacing w:line="240" w:lineRule="auto"/>
              <w:jc w:val="center"/>
            </w:pPr>
            <w:r w:rsidRPr="000A4BBC">
              <w:rPr>
                <w:color w:val="0000FF"/>
              </w:rPr>
              <w:t xml:space="preserve">MUDr. Dana </w:t>
            </w:r>
            <w:proofErr w:type="spellStart"/>
            <w:r w:rsidRPr="000A4BBC">
              <w:rPr>
                <w:color w:val="0000FF"/>
              </w:rPr>
              <w:t>Šafka</w:t>
            </w:r>
            <w:proofErr w:type="spellEnd"/>
            <w:r w:rsidRPr="000A4BBC">
              <w:rPr>
                <w:color w:val="0000FF"/>
              </w:rPr>
              <w:t xml:space="preserve"> Brožková, </w:t>
            </w:r>
            <w:proofErr w:type="spellStart"/>
            <w:r w:rsidRPr="000A4BBC">
              <w:rPr>
                <w:color w:val="0000FF"/>
              </w:rPr>
              <w:t>Ph.D</w:t>
            </w:r>
            <w:proofErr w:type="spellEnd"/>
            <w:r w:rsidRPr="000A4BBC">
              <w:rPr>
                <w:color w:val="0000FF"/>
              </w:rPr>
              <w:t>.</w:t>
            </w: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r w:rsidR="00AD5F4D" w:rsidRPr="006165AC" w:rsidTr="00907AE9">
        <w:trPr>
          <w:cantSplit/>
          <w:trHeight w:val="567"/>
        </w:trPr>
        <w:tc>
          <w:tcPr>
            <w:tcW w:w="1247"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3232" w:type="dxa"/>
          </w:tcPr>
          <w:p w:rsidR="00AD5F4D" w:rsidRPr="006165AC" w:rsidRDefault="00AD5F4D" w:rsidP="00AD5F4D">
            <w:pPr>
              <w:spacing w:line="240" w:lineRule="auto"/>
              <w:jc w:val="center"/>
            </w:pPr>
          </w:p>
        </w:tc>
        <w:tc>
          <w:tcPr>
            <w:tcW w:w="1247" w:type="dxa"/>
          </w:tcPr>
          <w:p w:rsidR="00AD5F4D" w:rsidRPr="006165AC" w:rsidRDefault="00AD5F4D" w:rsidP="00AD5F4D">
            <w:pPr>
              <w:spacing w:line="240" w:lineRule="auto"/>
              <w:jc w:val="center"/>
            </w:pPr>
          </w:p>
        </w:tc>
        <w:tc>
          <w:tcPr>
            <w:tcW w:w="2381" w:type="dxa"/>
          </w:tcPr>
          <w:p w:rsidR="00AD5F4D" w:rsidRPr="006165AC" w:rsidRDefault="00AD5F4D" w:rsidP="00AD5F4D">
            <w:pPr>
              <w:spacing w:line="240" w:lineRule="auto"/>
              <w:jc w:val="center"/>
            </w:pPr>
          </w:p>
        </w:tc>
      </w:tr>
    </w:tbl>
    <w:p w:rsidR="00686686" w:rsidRDefault="00686686"/>
    <w:p w:rsidR="00BD672B" w:rsidRDefault="00BD672B" w:rsidP="00AB2AC9">
      <w:pPr>
        <w:spacing w:after="160" w:line="259" w:lineRule="auto"/>
        <w:jc w:val="left"/>
        <w:rPr>
          <w:b/>
        </w:rPr>
      </w:pPr>
    </w:p>
    <w:p w:rsidR="00686686" w:rsidRPr="006165AC" w:rsidRDefault="00686686" w:rsidP="00AB2AC9">
      <w:pPr>
        <w:spacing w:after="160" w:line="259" w:lineRule="auto"/>
        <w:jc w:val="left"/>
        <w:rPr>
          <w:b/>
        </w:rPr>
      </w:pPr>
      <w:r w:rsidRPr="006165AC">
        <w:rPr>
          <w:b/>
        </w:rPr>
        <w:lastRenderedPageBreak/>
        <w:t>Přílohy:</w:t>
      </w:r>
    </w:p>
    <w:p w:rsidR="00686686" w:rsidRDefault="00686686" w:rsidP="00032DCC">
      <w:pPr>
        <w:spacing w:line="276" w:lineRule="auto"/>
      </w:pPr>
      <w:r>
        <w:t xml:space="preserve">Příloha č. 1 - Přehled poskytovaných vyšetření </w:t>
      </w:r>
      <w:r w:rsidRPr="006165AC">
        <w:t xml:space="preserve"> </w:t>
      </w:r>
    </w:p>
    <w:p w:rsidR="00686686" w:rsidRDefault="00686686" w:rsidP="00032DCC">
      <w:pPr>
        <w:rPr>
          <w:b/>
        </w:rPr>
      </w:pPr>
      <w:r>
        <w:rPr>
          <w:b/>
        </w:rPr>
        <w:t>Seznam zkratek</w:t>
      </w:r>
      <w:r w:rsidRPr="006165AC">
        <w:rPr>
          <w:b/>
        </w:rPr>
        <w:t>:</w:t>
      </w:r>
    </w:p>
    <w:p w:rsidR="00686686" w:rsidRDefault="00686686" w:rsidP="00907AE9">
      <w:r>
        <w:t>2. LF UK</w:t>
      </w:r>
      <w:r>
        <w:tab/>
        <w:t>2. lékařská fakulta Univerzity Karlovy</w:t>
      </w:r>
    </w:p>
    <w:p w:rsidR="00686686" w:rsidRDefault="00686686" w:rsidP="00907AE9">
      <w:r>
        <w:t>CMT</w:t>
      </w:r>
      <w:r>
        <w:tab/>
      </w:r>
      <w:r>
        <w:tab/>
      </w:r>
      <w:proofErr w:type="spellStart"/>
      <w:r w:rsidRPr="00FE4C51">
        <w:t>Charcot</w:t>
      </w:r>
      <w:proofErr w:type="spellEnd"/>
      <w:r w:rsidRPr="00FE4C51">
        <w:t>-</w:t>
      </w:r>
      <w:proofErr w:type="spellStart"/>
      <w:r w:rsidRPr="00FE4C51">
        <w:t>Marie</w:t>
      </w:r>
      <w:proofErr w:type="spellEnd"/>
      <w:r w:rsidRPr="00FE4C51">
        <w:t>-</w:t>
      </w:r>
      <w:proofErr w:type="spellStart"/>
      <w:r w:rsidRPr="00FE4C51">
        <w:t>Tooth</w:t>
      </w:r>
      <w:proofErr w:type="spellEnd"/>
    </w:p>
    <w:p w:rsidR="00686686" w:rsidRDefault="00686686" w:rsidP="00907AE9">
      <w:r>
        <w:t>ČSN</w:t>
      </w:r>
      <w:r>
        <w:tab/>
      </w:r>
      <w:r>
        <w:tab/>
        <w:t>Česká technická norma</w:t>
      </w:r>
    </w:p>
    <w:p w:rsidR="00686686" w:rsidRPr="001C0C73" w:rsidRDefault="00686686" w:rsidP="00907AE9">
      <w:pPr>
        <w:rPr>
          <w:szCs w:val="22"/>
        </w:rPr>
      </w:pPr>
      <w:r>
        <w:rPr>
          <w:szCs w:val="22"/>
        </w:rPr>
        <w:t>DNA</w:t>
      </w:r>
      <w:r>
        <w:rPr>
          <w:szCs w:val="22"/>
        </w:rPr>
        <w:tab/>
      </w:r>
      <w:r>
        <w:rPr>
          <w:szCs w:val="22"/>
        </w:rPr>
        <w:tab/>
      </w:r>
      <w:r>
        <w:rPr>
          <w:color w:val="222222"/>
        </w:rPr>
        <w:t>d</w:t>
      </w:r>
      <w:r w:rsidRPr="005557CB">
        <w:rPr>
          <w:color w:val="222222"/>
        </w:rPr>
        <w:t>eoxyribonukleová kyselina</w:t>
      </w:r>
    </w:p>
    <w:p w:rsidR="00686686" w:rsidRDefault="00686686" w:rsidP="00032DCC">
      <w:r w:rsidRPr="00E50A84">
        <w:t>EE</w:t>
      </w:r>
      <w:r>
        <w:tab/>
      </w:r>
      <w:r>
        <w:tab/>
        <w:t>epileptická encefalopatie</w:t>
      </w:r>
    </w:p>
    <w:p w:rsidR="00686686" w:rsidRDefault="00686686" w:rsidP="00032DCC">
      <w:r>
        <w:t>EHK</w:t>
      </w:r>
      <w:r>
        <w:tab/>
      </w:r>
      <w:r>
        <w:tab/>
        <w:t>externí hodnocení kvality</w:t>
      </w:r>
    </w:p>
    <w:p w:rsidR="00686686" w:rsidRDefault="00686686" w:rsidP="00032DCC">
      <w:r w:rsidRPr="003526BB">
        <w:t>EMG</w:t>
      </w:r>
      <w:r>
        <w:tab/>
      </w:r>
      <w:r>
        <w:tab/>
        <w:t>elektromyografické</w:t>
      </w:r>
      <w:r w:rsidRPr="003526BB">
        <w:t xml:space="preserve"> vyšetření</w:t>
      </w:r>
    </w:p>
    <w:p w:rsidR="00686686" w:rsidRDefault="00686686" w:rsidP="00032DCC">
      <w:r w:rsidRPr="004F5F60">
        <w:rPr>
          <w:szCs w:val="22"/>
        </w:rPr>
        <w:t>EMQN</w:t>
      </w:r>
      <w:r>
        <w:rPr>
          <w:szCs w:val="22"/>
        </w:rPr>
        <w:tab/>
      </w:r>
      <w:r>
        <w:rPr>
          <w:szCs w:val="22"/>
        </w:rPr>
        <w:tab/>
      </w:r>
      <w:proofErr w:type="spellStart"/>
      <w:r w:rsidRPr="006226B6">
        <w:t>European</w:t>
      </w:r>
      <w:proofErr w:type="spellEnd"/>
      <w:r w:rsidRPr="006226B6">
        <w:t xml:space="preserve"> </w:t>
      </w:r>
      <w:proofErr w:type="spellStart"/>
      <w:r w:rsidRPr="006226B6">
        <w:t>Molecular</w:t>
      </w:r>
      <w:proofErr w:type="spellEnd"/>
      <w:r w:rsidRPr="006226B6">
        <w:t xml:space="preserve"> </w:t>
      </w:r>
      <w:proofErr w:type="spellStart"/>
      <w:r w:rsidRPr="006226B6">
        <w:t>Genetics</w:t>
      </w:r>
      <w:proofErr w:type="spellEnd"/>
      <w:r w:rsidRPr="006226B6">
        <w:t xml:space="preserve"> </w:t>
      </w:r>
      <w:proofErr w:type="spellStart"/>
      <w:r w:rsidRPr="006226B6">
        <w:rPr>
          <w:bCs/>
        </w:rPr>
        <w:t>Quality</w:t>
      </w:r>
      <w:proofErr w:type="spellEnd"/>
      <w:r w:rsidRPr="006226B6">
        <w:t xml:space="preserve"> Network</w:t>
      </w:r>
    </w:p>
    <w:p w:rsidR="00686686" w:rsidRPr="007E2330" w:rsidRDefault="00686686" w:rsidP="00032DCC">
      <w:r w:rsidRPr="007E2330">
        <w:t>FN Motol</w:t>
      </w:r>
      <w:r w:rsidRPr="007E2330">
        <w:tab/>
      </w:r>
      <w:r>
        <w:t>F</w:t>
      </w:r>
      <w:r w:rsidRPr="007E2330">
        <w:t xml:space="preserve">akultní nemocnice </w:t>
      </w:r>
      <w:r>
        <w:t xml:space="preserve">v </w:t>
      </w:r>
      <w:r w:rsidRPr="007E2330">
        <w:t>Motol</w:t>
      </w:r>
      <w:r>
        <w:t>e</w:t>
      </w:r>
    </w:p>
    <w:p w:rsidR="00686686" w:rsidRPr="007E2330" w:rsidRDefault="00686686" w:rsidP="00032DCC">
      <w:r w:rsidRPr="007E2330">
        <w:t>GDPR</w:t>
      </w:r>
      <w:r w:rsidRPr="007E2330">
        <w:tab/>
      </w:r>
      <w:r w:rsidRPr="007E2330">
        <w:tab/>
        <w:t>Obecné nařízení o ochraně osobních údajů</w:t>
      </w:r>
    </w:p>
    <w:p w:rsidR="00686686" w:rsidRPr="007E2330" w:rsidRDefault="00686686" w:rsidP="00032DCC">
      <w:r w:rsidRPr="007E2330">
        <w:t>HMN</w:t>
      </w:r>
      <w:r w:rsidRPr="007E2330">
        <w:tab/>
      </w:r>
      <w:r w:rsidRPr="007E2330">
        <w:tab/>
        <w:t>dědičná motorická neuropatie</w:t>
      </w:r>
    </w:p>
    <w:p w:rsidR="00686686" w:rsidRPr="007E2330" w:rsidRDefault="00686686" w:rsidP="00032DCC">
      <w:r w:rsidRPr="007E2330">
        <w:rPr>
          <w:szCs w:val="22"/>
        </w:rPr>
        <w:t>HMSN</w:t>
      </w:r>
      <w:r w:rsidRPr="007E2330">
        <w:rPr>
          <w:szCs w:val="22"/>
        </w:rPr>
        <w:tab/>
      </w:r>
      <w:r w:rsidRPr="007E2330">
        <w:rPr>
          <w:szCs w:val="22"/>
        </w:rPr>
        <w:tab/>
        <w:t>hereditární motorické a senzitivní neuropatie</w:t>
      </w:r>
    </w:p>
    <w:p w:rsidR="00686686" w:rsidRPr="007E2330" w:rsidRDefault="00686686" w:rsidP="00032DCC">
      <w:r w:rsidRPr="007E2330">
        <w:t>HNPP</w:t>
      </w:r>
      <w:r w:rsidRPr="007E2330">
        <w:tab/>
      </w:r>
      <w:r w:rsidRPr="007E2330">
        <w:tab/>
        <w:t>hereditární neuropatie s tendencí k tlakovým parézám</w:t>
      </w:r>
    </w:p>
    <w:p w:rsidR="00686686" w:rsidRPr="007E2330" w:rsidRDefault="00686686" w:rsidP="002212CF">
      <w:r w:rsidRPr="007E2330">
        <w:t>HSN</w:t>
      </w:r>
      <w:r w:rsidRPr="007E2330">
        <w:tab/>
      </w:r>
      <w:r w:rsidRPr="007E2330">
        <w:tab/>
        <w:t>dědičná senzitivní neuropatie</w:t>
      </w:r>
    </w:p>
    <w:p w:rsidR="00686686" w:rsidRPr="007E2330" w:rsidRDefault="00686686" w:rsidP="002212CF">
      <w:r w:rsidRPr="007E2330">
        <w:t>IČP</w:t>
      </w:r>
      <w:r w:rsidRPr="007E2330">
        <w:tab/>
      </w:r>
      <w:r w:rsidRPr="007E2330">
        <w:tab/>
        <w:t>identifikační číslo pracoviště</w:t>
      </w:r>
    </w:p>
    <w:p w:rsidR="00686686" w:rsidRPr="007E2330" w:rsidRDefault="00686686" w:rsidP="002212CF">
      <w:r w:rsidRPr="007E2330">
        <w:t>IHK</w:t>
      </w:r>
      <w:r w:rsidRPr="007E2330">
        <w:tab/>
      </w:r>
      <w:r w:rsidRPr="007E2330">
        <w:tab/>
        <w:t>interní hodnocení kvality</w:t>
      </w:r>
    </w:p>
    <w:p w:rsidR="00686686" w:rsidRPr="007E2330" w:rsidRDefault="00686686" w:rsidP="002212CF">
      <w:r w:rsidRPr="007E2330">
        <w:t>K2EDTA</w:t>
      </w:r>
      <w:r w:rsidRPr="007E2330">
        <w:tab/>
      </w:r>
      <w:proofErr w:type="spellStart"/>
      <w:r w:rsidRPr="007E2330">
        <w:t>di</w:t>
      </w:r>
      <w:proofErr w:type="spellEnd"/>
      <w:r w:rsidRPr="007E2330">
        <w:t xml:space="preserve">-draselná sůl </w:t>
      </w:r>
      <w:r w:rsidRPr="007E2330">
        <w:rPr>
          <w:bCs/>
        </w:rPr>
        <w:t>kyseliny</w:t>
      </w:r>
      <w:r w:rsidRPr="007E2330">
        <w:t xml:space="preserve"> etylen-diamin-</w:t>
      </w:r>
      <w:proofErr w:type="spellStart"/>
      <w:r w:rsidRPr="007E2330">
        <w:t>tetraoctové</w:t>
      </w:r>
      <w:proofErr w:type="spellEnd"/>
    </w:p>
    <w:p w:rsidR="00686686" w:rsidRPr="007E2330" w:rsidRDefault="00686686" w:rsidP="001925E6">
      <w:r w:rsidRPr="007E2330">
        <w:t xml:space="preserve">K3EDTA </w:t>
      </w:r>
      <w:r w:rsidRPr="007E2330">
        <w:tab/>
        <w:t xml:space="preserve">tri-draselná sůl </w:t>
      </w:r>
      <w:r w:rsidRPr="007E2330">
        <w:rPr>
          <w:bCs/>
        </w:rPr>
        <w:t>kyseliny</w:t>
      </w:r>
      <w:r w:rsidRPr="007E2330">
        <w:t xml:space="preserve"> etylen-diamin-</w:t>
      </w:r>
      <w:proofErr w:type="spellStart"/>
      <w:r w:rsidRPr="007E2330">
        <w:t>tetraoctové</w:t>
      </w:r>
      <w:proofErr w:type="spellEnd"/>
    </w:p>
    <w:p w:rsidR="00686686" w:rsidRPr="007E2330" w:rsidRDefault="00686686" w:rsidP="002212CF">
      <w:r w:rsidRPr="007E2330">
        <w:t>LF</w:t>
      </w:r>
      <w:r w:rsidRPr="007E2330">
        <w:tab/>
      </w:r>
      <w:r w:rsidRPr="007E2330">
        <w:tab/>
        <w:t>lékařská fakulta</w:t>
      </w:r>
    </w:p>
    <w:p w:rsidR="00686686" w:rsidRPr="007E2330" w:rsidRDefault="00686686" w:rsidP="002212CF">
      <w:proofErr w:type="spellStart"/>
      <w:r w:rsidRPr="007E2330">
        <w:t>LotusLab</w:t>
      </w:r>
      <w:proofErr w:type="spellEnd"/>
      <w:r w:rsidRPr="007E2330">
        <w:tab/>
        <w:t>interní databáze řízené dokumentace laboratoře</w:t>
      </w:r>
    </w:p>
    <w:p w:rsidR="00686686" w:rsidRPr="007E2330" w:rsidRDefault="00686686" w:rsidP="00032DCC">
      <w:r w:rsidRPr="007E2330">
        <w:t>LP</w:t>
      </w:r>
      <w:r w:rsidRPr="007E2330">
        <w:tab/>
      </w:r>
      <w:r w:rsidRPr="007E2330">
        <w:tab/>
        <w:t>laboratorní příručka</w:t>
      </w:r>
    </w:p>
    <w:p w:rsidR="00686686" w:rsidRPr="007E2330" w:rsidRDefault="00686686" w:rsidP="007E2330">
      <w:pPr>
        <w:rPr>
          <w:strike/>
        </w:rPr>
      </w:pPr>
      <w:r w:rsidRPr="007E2330">
        <w:t>MKN</w:t>
      </w:r>
      <w:r w:rsidRPr="007E2330">
        <w:tab/>
      </w:r>
      <w:r w:rsidRPr="007E2330">
        <w:tab/>
      </w:r>
      <w:r w:rsidRPr="007E2330">
        <w:rPr>
          <w:rStyle w:val="st1"/>
          <w:szCs w:val="22"/>
        </w:rPr>
        <w:t>Mezinárodní klasifikace nemocí a přidružených zdravotních problémů</w:t>
      </w:r>
    </w:p>
    <w:p w:rsidR="00686686" w:rsidRDefault="00686686" w:rsidP="007E2330">
      <w:r w:rsidRPr="007E2330">
        <w:t>MLPA</w:t>
      </w:r>
      <w:r w:rsidRPr="007E2330">
        <w:tab/>
      </w:r>
      <w:r w:rsidRPr="007E2330">
        <w:tab/>
        <w:t xml:space="preserve">metoda multiplexní amplifikace sond závislá na </w:t>
      </w:r>
      <w:proofErr w:type="spellStart"/>
      <w:r w:rsidRPr="007E2330">
        <w:t>ligaci</w:t>
      </w:r>
      <w:proofErr w:type="spellEnd"/>
    </w:p>
    <w:p w:rsidR="00686686" w:rsidRDefault="00686686" w:rsidP="007E2330">
      <w:proofErr w:type="spellStart"/>
      <w:r>
        <w:t>Neurogenetická</w:t>
      </w:r>
      <w:proofErr w:type="spellEnd"/>
      <w:r>
        <w:t xml:space="preserve"> </w:t>
      </w:r>
    </w:p>
    <w:p w:rsidR="00686686" w:rsidRDefault="00686686" w:rsidP="007E2330">
      <w:r>
        <w:t>laboratoř</w:t>
      </w:r>
      <w:r>
        <w:tab/>
        <w:t xml:space="preserve">Klinika dětské neurologie 2. LF UK a FN Motol – </w:t>
      </w:r>
      <w:proofErr w:type="spellStart"/>
      <w:r>
        <w:t>Neurogenetická</w:t>
      </w:r>
      <w:proofErr w:type="spellEnd"/>
      <w:r>
        <w:t xml:space="preserve"> laboratoř.</w:t>
      </w:r>
    </w:p>
    <w:p w:rsidR="00686686" w:rsidRDefault="00686686" w:rsidP="007E2330">
      <w:r>
        <w:t>NGL</w:t>
      </w:r>
      <w:r>
        <w:tab/>
      </w:r>
      <w:r>
        <w:tab/>
        <w:t xml:space="preserve">Klinika dětské neurologie 2. LF UK a FN Motol – </w:t>
      </w:r>
      <w:proofErr w:type="spellStart"/>
      <w:r>
        <w:t>Neurogenetická</w:t>
      </w:r>
      <w:proofErr w:type="spellEnd"/>
      <w:r>
        <w:t xml:space="preserve"> laboratoř</w:t>
      </w:r>
    </w:p>
    <w:p w:rsidR="00686686" w:rsidRPr="007E2330" w:rsidRDefault="00686686" w:rsidP="007E2330">
      <w:r>
        <w:t>NSHL</w:t>
      </w:r>
      <w:r>
        <w:tab/>
      </w:r>
      <w:r>
        <w:tab/>
        <w:t>dědičná</w:t>
      </w:r>
      <w:r w:rsidRPr="00FE4C51">
        <w:t xml:space="preserve"> </w:t>
      </w:r>
      <w:proofErr w:type="spellStart"/>
      <w:r w:rsidRPr="00FE4C51">
        <w:t>nesyndromo</w:t>
      </w:r>
      <w:r>
        <w:t>vá</w:t>
      </w:r>
      <w:proofErr w:type="spellEnd"/>
      <w:r>
        <w:t xml:space="preserve"> hluchota</w:t>
      </w:r>
    </w:p>
    <w:p w:rsidR="00686686" w:rsidRPr="007E2330" w:rsidRDefault="00686686" w:rsidP="00032DCC">
      <w:r w:rsidRPr="007E2330">
        <w:t>PCR</w:t>
      </w:r>
      <w:r w:rsidRPr="007E2330">
        <w:tab/>
      </w:r>
      <w:r w:rsidRPr="007E2330">
        <w:tab/>
        <w:t>polymerázová řetězová reakce (</w:t>
      </w:r>
      <w:proofErr w:type="spellStart"/>
      <w:r w:rsidRPr="007E2330">
        <w:t>polymerase</w:t>
      </w:r>
      <w:proofErr w:type="spellEnd"/>
      <w:r w:rsidRPr="007E2330">
        <w:t xml:space="preserve"> </w:t>
      </w:r>
      <w:proofErr w:type="spellStart"/>
      <w:r w:rsidRPr="007E2330">
        <w:t>chain</w:t>
      </w:r>
      <w:proofErr w:type="spellEnd"/>
      <w:r w:rsidRPr="007E2330">
        <w:t xml:space="preserve"> </w:t>
      </w:r>
      <w:proofErr w:type="spellStart"/>
      <w:r w:rsidRPr="007E2330">
        <w:t>reaction</w:t>
      </w:r>
      <w:proofErr w:type="spellEnd"/>
      <w:r w:rsidRPr="007E2330">
        <w:t>)</w:t>
      </w:r>
    </w:p>
    <w:p w:rsidR="00686686" w:rsidRPr="007E2330" w:rsidRDefault="00686686" w:rsidP="007E2330">
      <w:r w:rsidRPr="007E2330">
        <w:t>PMD</w:t>
      </w:r>
      <w:r w:rsidRPr="007E2330">
        <w:tab/>
      </w:r>
      <w:r w:rsidRPr="007E2330">
        <w:tab/>
      </w:r>
      <w:proofErr w:type="spellStart"/>
      <w:r w:rsidRPr="007E2330">
        <w:rPr>
          <w:bCs/>
          <w:szCs w:val="22"/>
        </w:rPr>
        <w:t>Pelizaeus</w:t>
      </w:r>
      <w:proofErr w:type="spellEnd"/>
      <w:r>
        <w:rPr>
          <w:bCs/>
          <w:szCs w:val="22"/>
        </w:rPr>
        <w:t xml:space="preserve"> </w:t>
      </w:r>
      <w:proofErr w:type="spellStart"/>
      <w:r>
        <w:rPr>
          <w:bCs/>
          <w:szCs w:val="22"/>
        </w:rPr>
        <w:t>M</w:t>
      </w:r>
      <w:r w:rsidRPr="007E2330">
        <w:rPr>
          <w:bCs/>
          <w:szCs w:val="22"/>
        </w:rPr>
        <w:t>erzbacherova</w:t>
      </w:r>
      <w:proofErr w:type="spellEnd"/>
      <w:r w:rsidRPr="007E2330">
        <w:rPr>
          <w:bCs/>
          <w:szCs w:val="22"/>
        </w:rPr>
        <w:t xml:space="preserve"> choroba</w:t>
      </w:r>
    </w:p>
    <w:p w:rsidR="00686686" w:rsidRDefault="00686686" w:rsidP="00032DCC">
      <w:r>
        <w:t>SOP</w:t>
      </w:r>
      <w:r>
        <w:tab/>
      </w:r>
      <w:r>
        <w:tab/>
      </w:r>
      <w:proofErr w:type="spellStart"/>
      <w:r>
        <w:t>standartní</w:t>
      </w:r>
      <w:proofErr w:type="spellEnd"/>
      <w:r>
        <w:t xml:space="preserve"> operační postup</w:t>
      </w:r>
    </w:p>
    <w:p w:rsidR="00686686" w:rsidRDefault="00686686" w:rsidP="00032DCC">
      <w:r>
        <w:t>ÚBLG</w:t>
      </w:r>
      <w:r>
        <w:tab/>
      </w:r>
      <w:r>
        <w:tab/>
        <w:t>Ústav biologie a lékařské genetiky 2. LF UK a FN Motol</w:t>
      </w:r>
    </w:p>
    <w:p w:rsidR="00BD672B" w:rsidRDefault="00BD672B" w:rsidP="00032DCC"/>
    <w:p w:rsidR="00686686" w:rsidRPr="00E8036E" w:rsidRDefault="00686686" w:rsidP="00AB2AC9">
      <w:pPr>
        <w:spacing w:after="160" w:line="259" w:lineRule="auto"/>
        <w:jc w:val="left"/>
        <w:rPr>
          <w:b/>
        </w:rPr>
      </w:pPr>
      <w:r w:rsidRPr="00E8036E">
        <w:rPr>
          <w:b/>
        </w:rPr>
        <w:lastRenderedPageBreak/>
        <w:t>Obsah</w:t>
      </w:r>
    </w:p>
    <w:p w:rsidR="00686686" w:rsidRDefault="00DF18E6">
      <w:pPr>
        <w:pStyle w:val="Obsah1"/>
        <w:tabs>
          <w:tab w:val="left" w:pos="440"/>
          <w:tab w:val="right" w:leader="dot" w:pos="9060"/>
        </w:tabs>
        <w:rPr>
          <w:rFonts w:ascii="Calibri" w:hAnsi="Calibri"/>
          <w:noProof/>
          <w:szCs w:val="22"/>
        </w:rPr>
      </w:pPr>
      <w:r>
        <w:fldChar w:fldCharType="begin"/>
      </w:r>
      <w:r w:rsidR="00686686">
        <w:instrText xml:space="preserve"> TOC \o "1-3" \h \z \u </w:instrText>
      </w:r>
      <w:r>
        <w:fldChar w:fldCharType="separate"/>
      </w:r>
      <w:hyperlink w:anchor="_Toc45707693" w:history="1">
        <w:r w:rsidR="00686686" w:rsidRPr="00F842F4">
          <w:rPr>
            <w:rStyle w:val="Hypertextovodkaz"/>
            <w:noProof/>
          </w:rPr>
          <w:t>1</w:t>
        </w:r>
        <w:r w:rsidR="00686686">
          <w:rPr>
            <w:rFonts w:ascii="Calibri" w:hAnsi="Calibri"/>
            <w:noProof/>
            <w:szCs w:val="22"/>
          </w:rPr>
          <w:tab/>
        </w:r>
        <w:r w:rsidR="00686686" w:rsidRPr="00F842F4">
          <w:rPr>
            <w:rStyle w:val="Hypertextovodkaz"/>
            <w:noProof/>
          </w:rPr>
          <w:t>Informace o laboratoři</w:t>
        </w:r>
        <w:r w:rsidR="00686686">
          <w:rPr>
            <w:noProof/>
            <w:webHidden/>
          </w:rPr>
          <w:tab/>
        </w:r>
        <w:r>
          <w:rPr>
            <w:noProof/>
            <w:webHidden/>
          </w:rPr>
          <w:fldChar w:fldCharType="begin"/>
        </w:r>
        <w:r w:rsidR="00686686">
          <w:rPr>
            <w:noProof/>
            <w:webHidden/>
          </w:rPr>
          <w:instrText xml:space="preserve"> PAGEREF _Toc45707693 \h </w:instrText>
        </w:r>
        <w:r>
          <w:rPr>
            <w:noProof/>
            <w:webHidden/>
          </w:rPr>
        </w:r>
        <w:r>
          <w:rPr>
            <w:noProof/>
            <w:webHidden/>
          </w:rPr>
          <w:fldChar w:fldCharType="separate"/>
        </w:r>
        <w:r w:rsidR="00582305">
          <w:rPr>
            <w:noProof/>
            <w:webHidden/>
          </w:rPr>
          <w:t>7</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694" w:history="1">
        <w:r w:rsidR="00686686" w:rsidRPr="00F842F4">
          <w:rPr>
            <w:rStyle w:val="Hypertextovodkaz"/>
            <w:noProof/>
          </w:rPr>
          <w:t>1.1</w:t>
        </w:r>
        <w:r w:rsidR="00686686">
          <w:rPr>
            <w:rFonts w:ascii="Calibri" w:hAnsi="Calibri"/>
            <w:noProof/>
            <w:szCs w:val="22"/>
          </w:rPr>
          <w:tab/>
        </w:r>
        <w:r w:rsidR="00686686" w:rsidRPr="00F842F4">
          <w:rPr>
            <w:rStyle w:val="Hypertextovodkaz"/>
            <w:noProof/>
          </w:rPr>
          <w:t>Identifikace laboratoře a důležité údaje</w:t>
        </w:r>
        <w:r w:rsidR="00686686">
          <w:rPr>
            <w:noProof/>
            <w:webHidden/>
          </w:rPr>
          <w:tab/>
        </w:r>
        <w:r>
          <w:rPr>
            <w:noProof/>
            <w:webHidden/>
          </w:rPr>
          <w:fldChar w:fldCharType="begin"/>
        </w:r>
        <w:r w:rsidR="00686686">
          <w:rPr>
            <w:noProof/>
            <w:webHidden/>
          </w:rPr>
          <w:instrText xml:space="preserve"> PAGEREF _Toc45707694 \h </w:instrText>
        </w:r>
        <w:r>
          <w:rPr>
            <w:noProof/>
            <w:webHidden/>
          </w:rPr>
        </w:r>
        <w:r>
          <w:rPr>
            <w:noProof/>
            <w:webHidden/>
          </w:rPr>
          <w:fldChar w:fldCharType="separate"/>
        </w:r>
        <w:r w:rsidR="00582305">
          <w:rPr>
            <w:noProof/>
            <w:webHidden/>
          </w:rPr>
          <w:t>7</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695" w:history="1">
        <w:r w:rsidR="00686686" w:rsidRPr="00F842F4">
          <w:rPr>
            <w:rStyle w:val="Hypertextovodkaz"/>
            <w:noProof/>
          </w:rPr>
          <w:t>1.2</w:t>
        </w:r>
        <w:r w:rsidR="00686686">
          <w:rPr>
            <w:rFonts w:ascii="Calibri" w:hAnsi="Calibri"/>
            <w:noProof/>
            <w:szCs w:val="22"/>
          </w:rPr>
          <w:tab/>
        </w:r>
        <w:r w:rsidR="00686686" w:rsidRPr="00F842F4">
          <w:rPr>
            <w:rStyle w:val="Hypertextovodkaz"/>
            <w:noProof/>
          </w:rPr>
          <w:t>Zaměření pracoviště</w:t>
        </w:r>
        <w:r w:rsidR="00686686">
          <w:rPr>
            <w:noProof/>
            <w:webHidden/>
          </w:rPr>
          <w:tab/>
        </w:r>
        <w:r>
          <w:rPr>
            <w:noProof/>
            <w:webHidden/>
          </w:rPr>
          <w:fldChar w:fldCharType="begin"/>
        </w:r>
        <w:r w:rsidR="00686686">
          <w:rPr>
            <w:noProof/>
            <w:webHidden/>
          </w:rPr>
          <w:instrText xml:space="preserve"> PAGEREF _Toc45707695 \h </w:instrText>
        </w:r>
        <w:r>
          <w:rPr>
            <w:noProof/>
            <w:webHidden/>
          </w:rPr>
        </w:r>
        <w:r>
          <w:rPr>
            <w:noProof/>
            <w:webHidden/>
          </w:rPr>
          <w:fldChar w:fldCharType="separate"/>
        </w:r>
        <w:r w:rsidR="00582305">
          <w:rPr>
            <w:noProof/>
            <w:webHidden/>
          </w:rPr>
          <w:t>7</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696" w:history="1">
        <w:r w:rsidR="00686686" w:rsidRPr="00F842F4">
          <w:rPr>
            <w:rStyle w:val="Hypertextovodkaz"/>
            <w:noProof/>
          </w:rPr>
          <w:t>1.3</w:t>
        </w:r>
        <w:r w:rsidR="00686686">
          <w:rPr>
            <w:rFonts w:ascii="Calibri" w:hAnsi="Calibri"/>
            <w:noProof/>
            <w:szCs w:val="22"/>
          </w:rPr>
          <w:tab/>
        </w:r>
        <w:r w:rsidR="00686686" w:rsidRPr="00F842F4">
          <w:rPr>
            <w:rStyle w:val="Hypertextovodkaz"/>
            <w:noProof/>
          </w:rPr>
          <w:t>Organizace laboratoře</w:t>
        </w:r>
        <w:r w:rsidR="00686686">
          <w:rPr>
            <w:noProof/>
            <w:webHidden/>
          </w:rPr>
          <w:tab/>
        </w:r>
        <w:r>
          <w:rPr>
            <w:noProof/>
            <w:webHidden/>
          </w:rPr>
          <w:fldChar w:fldCharType="begin"/>
        </w:r>
        <w:r w:rsidR="00686686">
          <w:rPr>
            <w:noProof/>
            <w:webHidden/>
          </w:rPr>
          <w:instrText xml:space="preserve"> PAGEREF _Toc45707696 \h </w:instrText>
        </w:r>
        <w:r>
          <w:rPr>
            <w:noProof/>
            <w:webHidden/>
          </w:rPr>
        </w:r>
        <w:r>
          <w:rPr>
            <w:noProof/>
            <w:webHidden/>
          </w:rPr>
          <w:fldChar w:fldCharType="separate"/>
        </w:r>
        <w:r w:rsidR="00582305">
          <w:rPr>
            <w:noProof/>
            <w:webHidden/>
          </w:rPr>
          <w:t>8</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697" w:history="1">
        <w:r w:rsidR="00686686" w:rsidRPr="00F842F4">
          <w:rPr>
            <w:rStyle w:val="Hypertextovodkaz"/>
            <w:noProof/>
          </w:rPr>
          <w:t>1.4</w:t>
        </w:r>
        <w:r w:rsidR="00686686">
          <w:rPr>
            <w:rFonts w:ascii="Calibri" w:hAnsi="Calibri"/>
            <w:noProof/>
            <w:szCs w:val="22"/>
          </w:rPr>
          <w:tab/>
        </w:r>
        <w:r w:rsidR="00686686" w:rsidRPr="00F842F4">
          <w:rPr>
            <w:rStyle w:val="Hypertextovodkaz"/>
            <w:noProof/>
          </w:rPr>
          <w:t>Zásady na ochranu osobních informací</w:t>
        </w:r>
        <w:r w:rsidR="00686686">
          <w:rPr>
            <w:noProof/>
            <w:webHidden/>
          </w:rPr>
          <w:tab/>
        </w:r>
        <w:r>
          <w:rPr>
            <w:noProof/>
            <w:webHidden/>
          </w:rPr>
          <w:fldChar w:fldCharType="begin"/>
        </w:r>
        <w:r w:rsidR="00686686">
          <w:rPr>
            <w:noProof/>
            <w:webHidden/>
          </w:rPr>
          <w:instrText xml:space="preserve"> PAGEREF _Toc45707697 \h </w:instrText>
        </w:r>
        <w:r>
          <w:rPr>
            <w:noProof/>
            <w:webHidden/>
          </w:rPr>
        </w:r>
        <w:r>
          <w:rPr>
            <w:noProof/>
            <w:webHidden/>
          </w:rPr>
          <w:fldChar w:fldCharType="separate"/>
        </w:r>
        <w:r w:rsidR="00582305">
          <w:rPr>
            <w:noProof/>
            <w:webHidden/>
          </w:rPr>
          <w:t>8</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698" w:history="1">
        <w:r w:rsidR="00686686" w:rsidRPr="00F842F4">
          <w:rPr>
            <w:rStyle w:val="Hypertextovodkaz"/>
            <w:noProof/>
          </w:rPr>
          <w:t>1.5</w:t>
        </w:r>
        <w:r w:rsidR="00686686">
          <w:rPr>
            <w:rFonts w:ascii="Calibri" w:hAnsi="Calibri"/>
            <w:noProof/>
            <w:szCs w:val="22"/>
          </w:rPr>
          <w:tab/>
        </w:r>
        <w:r w:rsidR="00686686" w:rsidRPr="00F842F4">
          <w:rPr>
            <w:rStyle w:val="Hypertextovodkaz"/>
            <w:noProof/>
          </w:rPr>
          <w:t>Spektrum nabízených služeb</w:t>
        </w:r>
        <w:r w:rsidR="00686686">
          <w:rPr>
            <w:noProof/>
            <w:webHidden/>
          </w:rPr>
          <w:tab/>
        </w:r>
        <w:r>
          <w:rPr>
            <w:noProof/>
            <w:webHidden/>
          </w:rPr>
          <w:fldChar w:fldCharType="begin"/>
        </w:r>
        <w:r w:rsidR="00686686">
          <w:rPr>
            <w:noProof/>
            <w:webHidden/>
          </w:rPr>
          <w:instrText xml:space="preserve"> PAGEREF _Toc45707698 \h </w:instrText>
        </w:r>
        <w:r>
          <w:rPr>
            <w:noProof/>
            <w:webHidden/>
          </w:rPr>
        </w:r>
        <w:r>
          <w:rPr>
            <w:noProof/>
            <w:webHidden/>
          </w:rPr>
          <w:fldChar w:fldCharType="separate"/>
        </w:r>
        <w:r w:rsidR="00582305">
          <w:rPr>
            <w:noProof/>
            <w:webHidden/>
          </w:rPr>
          <w:t>9</w:t>
        </w:r>
        <w:r>
          <w:rPr>
            <w:noProof/>
            <w:webHidden/>
          </w:rPr>
          <w:fldChar w:fldCharType="end"/>
        </w:r>
      </w:hyperlink>
    </w:p>
    <w:p w:rsidR="00686686" w:rsidRDefault="00DF18E6">
      <w:pPr>
        <w:pStyle w:val="Obsah1"/>
        <w:tabs>
          <w:tab w:val="left" w:pos="440"/>
          <w:tab w:val="right" w:leader="dot" w:pos="9060"/>
        </w:tabs>
        <w:rPr>
          <w:rFonts w:ascii="Calibri" w:hAnsi="Calibri"/>
          <w:noProof/>
          <w:szCs w:val="22"/>
        </w:rPr>
      </w:pPr>
      <w:hyperlink w:anchor="_Toc45707699" w:history="1">
        <w:r w:rsidR="00686686" w:rsidRPr="00F842F4">
          <w:rPr>
            <w:rStyle w:val="Hypertextovodkaz"/>
            <w:noProof/>
          </w:rPr>
          <w:t>2</w:t>
        </w:r>
        <w:r w:rsidR="00686686">
          <w:rPr>
            <w:rFonts w:ascii="Calibri" w:hAnsi="Calibri"/>
            <w:noProof/>
            <w:szCs w:val="22"/>
          </w:rPr>
          <w:tab/>
        </w:r>
        <w:r w:rsidR="00686686" w:rsidRPr="00F842F4">
          <w:rPr>
            <w:rStyle w:val="Hypertextovodkaz"/>
            <w:noProof/>
          </w:rPr>
          <w:t>Informace o provedení objednávky vyšetření</w:t>
        </w:r>
        <w:r w:rsidR="00686686">
          <w:rPr>
            <w:noProof/>
            <w:webHidden/>
          </w:rPr>
          <w:tab/>
        </w:r>
        <w:r>
          <w:rPr>
            <w:noProof/>
            <w:webHidden/>
          </w:rPr>
          <w:fldChar w:fldCharType="begin"/>
        </w:r>
        <w:r w:rsidR="00686686">
          <w:rPr>
            <w:noProof/>
            <w:webHidden/>
          </w:rPr>
          <w:instrText xml:space="preserve"> PAGEREF _Toc45707699 \h </w:instrText>
        </w:r>
        <w:r>
          <w:rPr>
            <w:noProof/>
            <w:webHidden/>
          </w:rPr>
        </w:r>
        <w:r>
          <w:rPr>
            <w:noProof/>
            <w:webHidden/>
          </w:rPr>
          <w:fldChar w:fldCharType="separate"/>
        </w:r>
        <w:r w:rsidR="00582305">
          <w:rPr>
            <w:noProof/>
            <w:webHidden/>
          </w:rPr>
          <w:t>10</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00" w:history="1">
        <w:r w:rsidR="00686686" w:rsidRPr="00F842F4">
          <w:rPr>
            <w:rStyle w:val="Hypertextovodkaz"/>
            <w:noProof/>
          </w:rPr>
          <w:t>2.1</w:t>
        </w:r>
        <w:r w:rsidR="00686686">
          <w:rPr>
            <w:rFonts w:ascii="Calibri" w:hAnsi="Calibri"/>
            <w:noProof/>
            <w:szCs w:val="22"/>
          </w:rPr>
          <w:tab/>
        </w:r>
        <w:r w:rsidR="00686686" w:rsidRPr="00F842F4">
          <w:rPr>
            <w:rStyle w:val="Hypertextovodkaz"/>
            <w:noProof/>
          </w:rPr>
          <w:t>Žádanky k vyšetření</w:t>
        </w:r>
        <w:r w:rsidR="00686686">
          <w:rPr>
            <w:noProof/>
            <w:webHidden/>
          </w:rPr>
          <w:tab/>
        </w:r>
        <w:r>
          <w:rPr>
            <w:noProof/>
            <w:webHidden/>
          </w:rPr>
          <w:fldChar w:fldCharType="begin"/>
        </w:r>
        <w:r w:rsidR="00686686">
          <w:rPr>
            <w:noProof/>
            <w:webHidden/>
          </w:rPr>
          <w:instrText xml:space="preserve"> PAGEREF _Toc45707700 \h </w:instrText>
        </w:r>
        <w:r>
          <w:rPr>
            <w:noProof/>
            <w:webHidden/>
          </w:rPr>
        </w:r>
        <w:r>
          <w:rPr>
            <w:noProof/>
            <w:webHidden/>
          </w:rPr>
          <w:fldChar w:fldCharType="separate"/>
        </w:r>
        <w:r w:rsidR="00582305">
          <w:rPr>
            <w:noProof/>
            <w:webHidden/>
          </w:rPr>
          <w:t>10</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01" w:history="1">
        <w:r w:rsidR="00686686" w:rsidRPr="00F842F4">
          <w:rPr>
            <w:rStyle w:val="Hypertextovodkaz"/>
            <w:noProof/>
          </w:rPr>
          <w:t>2.1.1</w:t>
        </w:r>
        <w:r w:rsidR="00686686">
          <w:rPr>
            <w:rFonts w:ascii="Calibri" w:hAnsi="Calibri"/>
            <w:noProof/>
            <w:szCs w:val="22"/>
          </w:rPr>
          <w:tab/>
        </w:r>
        <w:r w:rsidR="00686686" w:rsidRPr="00F842F4">
          <w:rPr>
            <w:rStyle w:val="Hypertextovodkaz"/>
            <w:noProof/>
          </w:rPr>
          <w:t>Formuláře žádanky</w:t>
        </w:r>
        <w:r w:rsidR="00686686">
          <w:rPr>
            <w:noProof/>
            <w:webHidden/>
          </w:rPr>
          <w:tab/>
        </w:r>
        <w:r>
          <w:rPr>
            <w:noProof/>
            <w:webHidden/>
          </w:rPr>
          <w:fldChar w:fldCharType="begin"/>
        </w:r>
        <w:r w:rsidR="00686686">
          <w:rPr>
            <w:noProof/>
            <w:webHidden/>
          </w:rPr>
          <w:instrText xml:space="preserve"> PAGEREF _Toc45707701 \h </w:instrText>
        </w:r>
        <w:r>
          <w:rPr>
            <w:noProof/>
            <w:webHidden/>
          </w:rPr>
        </w:r>
        <w:r>
          <w:rPr>
            <w:noProof/>
            <w:webHidden/>
          </w:rPr>
          <w:fldChar w:fldCharType="separate"/>
        </w:r>
        <w:r w:rsidR="00582305">
          <w:rPr>
            <w:noProof/>
            <w:webHidden/>
          </w:rPr>
          <w:t>10</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02" w:history="1">
        <w:r w:rsidR="00686686" w:rsidRPr="00F842F4">
          <w:rPr>
            <w:rStyle w:val="Hypertextovodkaz"/>
            <w:noProof/>
          </w:rPr>
          <w:t>2.1.2</w:t>
        </w:r>
        <w:r w:rsidR="00686686">
          <w:rPr>
            <w:rFonts w:ascii="Calibri" w:hAnsi="Calibri"/>
            <w:noProof/>
            <w:szCs w:val="22"/>
          </w:rPr>
          <w:tab/>
        </w:r>
        <w:r w:rsidR="00686686" w:rsidRPr="00F842F4">
          <w:rPr>
            <w:rStyle w:val="Hypertextovodkaz"/>
            <w:noProof/>
          </w:rPr>
          <w:t>Povinné údaje uvedené v žádance</w:t>
        </w:r>
        <w:r w:rsidR="00686686">
          <w:rPr>
            <w:noProof/>
            <w:webHidden/>
          </w:rPr>
          <w:tab/>
        </w:r>
        <w:r>
          <w:rPr>
            <w:noProof/>
            <w:webHidden/>
          </w:rPr>
          <w:fldChar w:fldCharType="begin"/>
        </w:r>
        <w:r w:rsidR="00686686">
          <w:rPr>
            <w:noProof/>
            <w:webHidden/>
          </w:rPr>
          <w:instrText xml:space="preserve"> PAGEREF _Toc45707702 \h </w:instrText>
        </w:r>
        <w:r>
          <w:rPr>
            <w:noProof/>
            <w:webHidden/>
          </w:rPr>
        </w:r>
        <w:r>
          <w:rPr>
            <w:noProof/>
            <w:webHidden/>
          </w:rPr>
          <w:fldChar w:fldCharType="separate"/>
        </w:r>
        <w:r w:rsidR="00582305">
          <w:rPr>
            <w:noProof/>
            <w:webHidden/>
          </w:rPr>
          <w:t>10</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03" w:history="1">
        <w:r w:rsidR="00686686" w:rsidRPr="00F842F4">
          <w:rPr>
            <w:rStyle w:val="Hypertextovodkaz"/>
            <w:noProof/>
          </w:rPr>
          <w:t>2.1.3</w:t>
        </w:r>
        <w:r w:rsidR="00686686">
          <w:rPr>
            <w:rFonts w:ascii="Calibri" w:hAnsi="Calibri"/>
            <w:noProof/>
            <w:szCs w:val="22"/>
          </w:rPr>
          <w:tab/>
        </w:r>
        <w:r w:rsidR="00686686" w:rsidRPr="00F842F4">
          <w:rPr>
            <w:rStyle w:val="Hypertextovodkaz"/>
            <w:noProof/>
          </w:rPr>
          <w:t>Identifikační označení biologického materiálu:</w:t>
        </w:r>
        <w:r w:rsidR="00686686">
          <w:rPr>
            <w:noProof/>
            <w:webHidden/>
          </w:rPr>
          <w:tab/>
        </w:r>
        <w:r>
          <w:rPr>
            <w:noProof/>
            <w:webHidden/>
          </w:rPr>
          <w:fldChar w:fldCharType="begin"/>
        </w:r>
        <w:r w:rsidR="00686686">
          <w:rPr>
            <w:noProof/>
            <w:webHidden/>
          </w:rPr>
          <w:instrText xml:space="preserve"> PAGEREF _Toc45707703 \h </w:instrText>
        </w:r>
        <w:r>
          <w:rPr>
            <w:noProof/>
            <w:webHidden/>
          </w:rPr>
        </w:r>
        <w:r>
          <w:rPr>
            <w:noProof/>
            <w:webHidden/>
          </w:rPr>
          <w:fldChar w:fldCharType="separate"/>
        </w:r>
        <w:r w:rsidR="00582305">
          <w:rPr>
            <w:noProof/>
            <w:webHidden/>
          </w:rPr>
          <w:t>11</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04" w:history="1">
        <w:r w:rsidR="00686686" w:rsidRPr="00F842F4">
          <w:rPr>
            <w:rStyle w:val="Hypertextovodkaz"/>
            <w:noProof/>
          </w:rPr>
          <w:t>2.1.4</w:t>
        </w:r>
        <w:r w:rsidR="00686686">
          <w:rPr>
            <w:rFonts w:ascii="Calibri" w:hAnsi="Calibri"/>
            <w:noProof/>
            <w:szCs w:val="22"/>
          </w:rPr>
          <w:tab/>
        </w:r>
        <w:r w:rsidR="00686686" w:rsidRPr="00F842F4">
          <w:rPr>
            <w:rStyle w:val="Hypertextovodkaz"/>
            <w:noProof/>
          </w:rPr>
          <w:t>Urgentní vyšetření ve zrychleném režimu</w:t>
        </w:r>
        <w:r w:rsidR="00686686">
          <w:rPr>
            <w:noProof/>
            <w:webHidden/>
          </w:rPr>
          <w:tab/>
        </w:r>
        <w:r>
          <w:rPr>
            <w:noProof/>
            <w:webHidden/>
          </w:rPr>
          <w:fldChar w:fldCharType="begin"/>
        </w:r>
        <w:r w:rsidR="00686686">
          <w:rPr>
            <w:noProof/>
            <w:webHidden/>
          </w:rPr>
          <w:instrText xml:space="preserve"> PAGEREF _Toc45707704 \h </w:instrText>
        </w:r>
        <w:r>
          <w:rPr>
            <w:noProof/>
            <w:webHidden/>
          </w:rPr>
        </w:r>
        <w:r>
          <w:rPr>
            <w:noProof/>
            <w:webHidden/>
          </w:rPr>
          <w:fldChar w:fldCharType="separate"/>
        </w:r>
        <w:r w:rsidR="00582305">
          <w:rPr>
            <w:noProof/>
            <w:webHidden/>
          </w:rPr>
          <w:t>11</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05" w:history="1">
        <w:r w:rsidR="00686686" w:rsidRPr="00F842F4">
          <w:rPr>
            <w:rStyle w:val="Hypertextovodkaz"/>
            <w:noProof/>
          </w:rPr>
          <w:t>2.1.5</w:t>
        </w:r>
        <w:r w:rsidR="00686686">
          <w:rPr>
            <w:rFonts w:ascii="Calibri" w:hAnsi="Calibri"/>
            <w:noProof/>
            <w:szCs w:val="22"/>
          </w:rPr>
          <w:tab/>
        </w:r>
        <w:r w:rsidR="00686686" w:rsidRPr="00F842F4">
          <w:rPr>
            <w:rStyle w:val="Hypertextovodkaz"/>
            <w:noProof/>
          </w:rPr>
          <w:t>Ústní a dodatečné požadavky na vyšetření</w:t>
        </w:r>
        <w:r w:rsidR="00686686">
          <w:rPr>
            <w:noProof/>
            <w:webHidden/>
          </w:rPr>
          <w:tab/>
        </w:r>
        <w:r>
          <w:rPr>
            <w:noProof/>
            <w:webHidden/>
          </w:rPr>
          <w:fldChar w:fldCharType="begin"/>
        </w:r>
        <w:r w:rsidR="00686686">
          <w:rPr>
            <w:noProof/>
            <w:webHidden/>
          </w:rPr>
          <w:instrText xml:space="preserve"> PAGEREF _Toc45707705 \h </w:instrText>
        </w:r>
        <w:r>
          <w:rPr>
            <w:noProof/>
            <w:webHidden/>
          </w:rPr>
        </w:r>
        <w:r>
          <w:rPr>
            <w:noProof/>
            <w:webHidden/>
          </w:rPr>
          <w:fldChar w:fldCharType="separate"/>
        </w:r>
        <w:r w:rsidR="00582305">
          <w:rPr>
            <w:noProof/>
            <w:webHidden/>
          </w:rPr>
          <w:t>11</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06" w:history="1">
        <w:r w:rsidR="00686686" w:rsidRPr="00F842F4">
          <w:rPr>
            <w:rStyle w:val="Hypertextovodkaz"/>
            <w:noProof/>
          </w:rPr>
          <w:t>2.1.6</w:t>
        </w:r>
        <w:r w:rsidR="00686686">
          <w:rPr>
            <w:rFonts w:ascii="Calibri" w:hAnsi="Calibri"/>
            <w:noProof/>
            <w:szCs w:val="22"/>
          </w:rPr>
          <w:tab/>
        </w:r>
        <w:r w:rsidR="00686686" w:rsidRPr="00F842F4">
          <w:rPr>
            <w:rStyle w:val="Hypertextovodkaz"/>
            <w:noProof/>
          </w:rPr>
          <w:t>Informovaný souhlas pacienta</w:t>
        </w:r>
        <w:r w:rsidR="00686686">
          <w:rPr>
            <w:noProof/>
            <w:webHidden/>
          </w:rPr>
          <w:tab/>
        </w:r>
        <w:r>
          <w:rPr>
            <w:noProof/>
            <w:webHidden/>
          </w:rPr>
          <w:fldChar w:fldCharType="begin"/>
        </w:r>
        <w:r w:rsidR="00686686">
          <w:rPr>
            <w:noProof/>
            <w:webHidden/>
          </w:rPr>
          <w:instrText xml:space="preserve"> PAGEREF _Toc45707706 \h </w:instrText>
        </w:r>
        <w:r>
          <w:rPr>
            <w:noProof/>
            <w:webHidden/>
          </w:rPr>
        </w:r>
        <w:r>
          <w:rPr>
            <w:noProof/>
            <w:webHidden/>
          </w:rPr>
          <w:fldChar w:fldCharType="separate"/>
        </w:r>
        <w:r w:rsidR="00582305">
          <w:rPr>
            <w:noProof/>
            <w:webHidden/>
          </w:rPr>
          <w:t>11</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07" w:history="1">
        <w:r w:rsidR="00686686" w:rsidRPr="00F842F4">
          <w:rPr>
            <w:rStyle w:val="Hypertextovodkaz"/>
            <w:noProof/>
          </w:rPr>
          <w:t>2.2</w:t>
        </w:r>
        <w:r w:rsidR="00686686">
          <w:rPr>
            <w:rFonts w:ascii="Calibri" w:hAnsi="Calibri"/>
            <w:noProof/>
            <w:szCs w:val="22"/>
          </w:rPr>
          <w:tab/>
        </w:r>
        <w:r w:rsidR="00686686" w:rsidRPr="00F842F4">
          <w:rPr>
            <w:rStyle w:val="Hypertextovodkaz"/>
            <w:noProof/>
          </w:rPr>
          <w:t>Příjem vzorku</w:t>
        </w:r>
        <w:r w:rsidR="00686686">
          <w:rPr>
            <w:noProof/>
            <w:webHidden/>
          </w:rPr>
          <w:tab/>
        </w:r>
        <w:r>
          <w:rPr>
            <w:noProof/>
            <w:webHidden/>
          </w:rPr>
          <w:fldChar w:fldCharType="begin"/>
        </w:r>
        <w:r w:rsidR="00686686">
          <w:rPr>
            <w:noProof/>
            <w:webHidden/>
          </w:rPr>
          <w:instrText xml:space="preserve"> PAGEREF _Toc45707707 \h </w:instrText>
        </w:r>
        <w:r>
          <w:rPr>
            <w:noProof/>
            <w:webHidden/>
          </w:rPr>
        </w:r>
        <w:r>
          <w:rPr>
            <w:noProof/>
            <w:webHidden/>
          </w:rPr>
          <w:fldChar w:fldCharType="separate"/>
        </w:r>
        <w:r w:rsidR="00582305">
          <w:rPr>
            <w:noProof/>
            <w:webHidden/>
          </w:rPr>
          <w:t>11</w:t>
        </w:r>
        <w:r>
          <w:rPr>
            <w:noProof/>
            <w:webHidden/>
          </w:rPr>
          <w:fldChar w:fldCharType="end"/>
        </w:r>
      </w:hyperlink>
    </w:p>
    <w:p w:rsidR="00686686" w:rsidRDefault="00DF18E6">
      <w:pPr>
        <w:pStyle w:val="Obsah1"/>
        <w:tabs>
          <w:tab w:val="left" w:pos="440"/>
          <w:tab w:val="right" w:leader="dot" w:pos="9060"/>
        </w:tabs>
        <w:rPr>
          <w:rFonts w:ascii="Calibri" w:hAnsi="Calibri"/>
          <w:noProof/>
          <w:szCs w:val="22"/>
        </w:rPr>
      </w:pPr>
      <w:hyperlink w:anchor="_Toc45707708" w:history="1">
        <w:r w:rsidR="00686686" w:rsidRPr="00F842F4">
          <w:rPr>
            <w:rStyle w:val="Hypertextovodkaz"/>
            <w:noProof/>
          </w:rPr>
          <w:t>3</w:t>
        </w:r>
        <w:r w:rsidR="00686686">
          <w:rPr>
            <w:rFonts w:ascii="Calibri" w:hAnsi="Calibri"/>
            <w:noProof/>
            <w:szCs w:val="22"/>
          </w:rPr>
          <w:tab/>
        </w:r>
        <w:r w:rsidR="00686686" w:rsidRPr="00F842F4">
          <w:rPr>
            <w:rStyle w:val="Hypertextovodkaz"/>
            <w:noProof/>
          </w:rPr>
          <w:t>Postup pro vzorky pocházející z ostatních pracovišť FN Motol</w:t>
        </w:r>
        <w:r w:rsidR="00686686">
          <w:rPr>
            <w:noProof/>
            <w:webHidden/>
          </w:rPr>
          <w:tab/>
        </w:r>
        <w:r>
          <w:rPr>
            <w:noProof/>
            <w:webHidden/>
          </w:rPr>
          <w:fldChar w:fldCharType="begin"/>
        </w:r>
        <w:r w:rsidR="00686686">
          <w:rPr>
            <w:noProof/>
            <w:webHidden/>
          </w:rPr>
          <w:instrText xml:space="preserve"> PAGEREF _Toc45707708 \h </w:instrText>
        </w:r>
        <w:r>
          <w:rPr>
            <w:noProof/>
            <w:webHidden/>
          </w:rPr>
        </w:r>
        <w:r>
          <w:rPr>
            <w:noProof/>
            <w:webHidden/>
          </w:rPr>
          <w:fldChar w:fldCharType="separate"/>
        </w:r>
        <w:r w:rsidR="00582305">
          <w:rPr>
            <w:noProof/>
            <w:webHidden/>
          </w:rPr>
          <w:t>12</w:t>
        </w:r>
        <w:r>
          <w:rPr>
            <w:noProof/>
            <w:webHidden/>
          </w:rPr>
          <w:fldChar w:fldCharType="end"/>
        </w:r>
      </w:hyperlink>
    </w:p>
    <w:p w:rsidR="00686686" w:rsidRDefault="00DF18E6">
      <w:pPr>
        <w:pStyle w:val="Obsah1"/>
        <w:tabs>
          <w:tab w:val="left" w:pos="440"/>
          <w:tab w:val="right" w:leader="dot" w:pos="9060"/>
        </w:tabs>
        <w:rPr>
          <w:rFonts w:ascii="Calibri" w:hAnsi="Calibri"/>
          <w:noProof/>
          <w:szCs w:val="22"/>
        </w:rPr>
      </w:pPr>
      <w:hyperlink w:anchor="_Toc45707709" w:history="1">
        <w:r w:rsidR="00686686" w:rsidRPr="00F842F4">
          <w:rPr>
            <w:rStyle w:val="Hypertextovodkaz"/>
            <w:noProof/>
          </w:rPr>
          <w:t>4</w:t>
        </w:r>
        <w:r w:rsidR="00686686">
          <w:rPr>
            <w:rFonts w:ascii="Calibri" w:hAnsi="Calibri"/>
            <w:noProof/>
            <w:szCs w:val="22"/>
          </w:rPr>
          <w:tab/>
        </w:r>
        <w:r w:rsidR="00686686" w:rsidRPr="00F842F4">
          <w:rPr>
            <w:rStyle w:val="Hypertextovodkaz"/>
            <w:noProof/>
          </w:rPr>
          <w:t>Preanalytická fáze</w:t>
        </w:r>
        <w:r w:rsidR="00686686">
          <w:rPr>
            <w:noProof/>
            <w:webHidden/>
          </w:rPr>
          <w:tab/>
        </w:r>
        <w:r>
          <w:rPr>
            <w:noProof/>
            <w:webHidden/>
          </w:rPr>
          <w:fldChar w:fldCharType="begin"/>
        </w:r>
        <w:r w:rsidR="00686686">
          <w:rPr>
            <w:noProof/>
            <w:webHidden/>
          </w:rPr>
          <w:instrText xml:space="preserve"> PAGEREF _Toc45707709 \h </w:instrText>
        </w:r>
        <w:r>
          <w:rPr>
            <w:noProof/>
            <w:webHidden/>
          </w:rPr>
        </w:r>
        <w:r>
          <w:rPr>
            <w:noProof/>
            <w:webHidden/>
          </w:rPr>
          <w:fldChar w:fldCharType="separate"/>
        </w:r>
        <w:r w:rsidR="00582305">
          <w:rPr>
            <w:noProof/>
            <w:webHidden/>
          </w:rPr>
          <w:t>12</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10" w:history="1">
        <w:r w:rsidR="00686686" w:rsidRPr="00F842F4">
          <w:rPr>
            <w:rStyle w:val="Hypertextovodkaz"/>
            <w:noProof/>
          </w:rPr>
          <w:t>4.1</w:t>
        </w:r>
        <w:r w:rsidR="00686686">
          <w:rPr>
            <w:rFonts w:ascii="Calibri" w:hAnsi="Calibri"/>
            <w:noProof/>
            <w:szCs w:val="22"/>
          </w:rPr>
          <w:tab/>
        </w:r>
        <w:r w:rsidR="00686686" w:rsidRPr="00F842F4">
          <w:rPr>
            <w:rStyle w:val="Hypertextovodkaz"/>
            <w:noProof/>
          </w:rPr>
          <w:t>Kritéria pro přijetí vzorku</w:t>
        </w:r>
        <w:r w:rsidR="00686686">
          <w:rPr>
            <w:noProof/>
            <w:webHidden/>
          </w:rPr>
          <w:tab/>
        </w:r>
        <w:r>
          <w:rPr>
            <w:noProof/>
            <w:webHidden/>
          </w:rPr>
          <w:fldChar w:fldCharType="begin"/>
        </w:r>
        <w:r w:rsidR="00686686">
          <w:rPr>
            <w:noProof/>
            <w:webHidden/>
          </w:rPr>
          <w:instrText xml:space="preserve"> PAGEREF _Toc45707710 \h </w:instrText>
        </w:r>
        <w:r>
          <w:rPr>
            <w:noProof/>
            <w:webHidden/>
          </w:rPr>
        </w:r>
        <w:r>
          <w:rPr>
            <w:noProof/>
            <w:webHidden/>
          </w:rPr>
          <w:fldChar w:fldCharType="separate"/>
        </w:r>
        <w:r w:rsidR="00582305">
          <w:rPr>
            <w:noProof/>
            <w:webHidden/>
          </w:rPr>
          <w:t>12</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11" w:history="1">
        <w:r w:rsidR="00686686" w:rsidRPr="00F842F4">
          <w:rPr>
            <w:rStyle w:val="Hypertextovodkaz"/>
            <w:noProof/>
          </w:rPr>
          <w:t>4.2</w:t>
        </w:r>
        <w:r w:rsidR="00686686">
          <w:rPr>
            <w:rFonts w:ascii="Calibri" w:hAnsi="Calibri"/>
            <w:noProof/>
            <w:szCs w:val="22"/>
          </w:rPr>
          <w:tab/>
        </w:r>
        <w:r w:rsidR="00686686" w:rsidRPr="00F842F4">
          <w:rPr>
            <w:rStyle w:val="Hypertextovodkaz"/>
            <w:noProof/>
          </w:rPr>
          <w:t>Kritéria pro odmítnutí vzorku</w:t>
        </w:r>
        <w:r w:rsidR="00686686">
          <w:rPr>
            <w:noProof/>
            <w:webHidden/>
          </w:rPr>
          <w:tab/>
        </w:r>
        <w:r>
          <w:rPr>
            <w:noProof/>
            <w:webHidden/>
          </w:rPr>
          <w:fldChar w:fldCharType="begin"/>
        </w:r>
        <w:r w:rsidR="00686686">
          <w:rPr>
            <w:noProof/>
            <w:webHidden/>
          </w:rPr>
          <w:instrText xml:space="preserve"> PAGEREF _Toc45707711 \h </w:instrText>
        </w:r>
        <w:r>
          <w:rPr>
            <w:noProof/>
            <w:webHidden/>
          </w:rPr>
        </w:r>
        <w:r>
          <w:rPr>
            <w:noProof/>
            <w:webHidden/>
          </w:rPr>
          <w:fldChar w:fldCharType="separate"/>
        </w:r>
        <w:r w:rsidR="00582305">
          <w:rPr>
            <w:noProof/>
            <w:webHidden/>
          </w:rPr>
          <w:t>12</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12" w:history="1">
        <w:r w:rsidR="00686686" w:rsidRPr="00F842F4">
          <w:rPr>
            <w:rStyle w:val="Hypertextovodkaz"/>
            <w:noProof/>
          </w:rPr>
          <w:t>4.3</w:t>
        </w:r>
        <w:r w:rsidR="00686686">
          <w:rPr>
            <w:rFonts w:ascii="Calibri" w:hAnsi="Calibri"/>
            <w:noProof/>
            <w:szCs w:val="22"/>
          </w:rPr>
          <w:tab/>
        </w:r>
        <w:r w:rsidR="00686686" w:rsidRPr="00F842F4">
          <w:rPr>
            <w:rStyle w:val="Hypertextovodkaz"/>
            <w:noProof/>
          </w:rPr>
          <w:t>Postup při chybné či neúplné identifikaci vzorku nebo při poškození dodaného vzorku</w:t>
        </w:r>
        <w:r w:rsidR="00686686">
          <w:rPr>
            <w:noProof/>
            <w:webHidden/>
          </w:rPr>
          <w:tab/>
        </w:r>
        <w:r>
          <w:rPr>
            <w:noProof/>
            <w:webHidden/>
          </w:rPr>
          <w:fldChar w:fldCharType="begin"/>
        </w:r>
        <w:r w:rsidR="00686686">
          <w:rPr>
            <w:noProof/>
            <w:webHidden/>
          </w:rPr>
          <w:instrText xml:space="preserve"> PAGEREF _Toc45707712 \h </w:instrText>
        </w:r>
        <w:r>
          <w:rPr>
            <w:noProof/>
            <w:webHidden/>
          </w:rPr>
        </w:r>
        <w:r>
          <w:rPr>
            <w:noProof/>
            <w:webHidden/>
          </w:rPr>
          <w:fldChar w:fldCharType="separate"/>
        </w:r>
        <w:r w:rsidR="00582305">
          <w:rPr>
            <w:noProof/>
            <w:webHidden/>
          </w:rPr>
          <w:t>13</w:t>
        </w:r>
        <w:r>
          <w:rPr>
            <w:noProof/>
            <w:webHidden/>
          </w:rPr>
          <w:fldChar w:fldCharType="end"/>
        </w:r>
      </w:hyperlink>
    </w:p>
    <w:p w:rsidR="00686686" w:rsidRDefault="00DF18E6">
      <w:pPr>
        <w:pStyle w:val="Obsah1"/>
        <w:tabs>
          <w:tab w:val="left" w:pos="440"/>
          <w:tab w:val="right" w:leader="dot" w:pos="9060"/>
        </w:tabs>
        <w:rPr>
          <w:rFonts w:ascii="Calibri" w:hAnsi="Calibri"/>
          <w:noProof/>
          <w:szCs w:val="22"/>
        </w:rPr>
      </w:pPr>
      <w:hyperlink w:anchor="_Toc45707713" w:history="1">
        <w:r w:rsidR="00686686" w:rsidRPr="00F842F4">
          <w:rPr>
            <w:rStyle w:val="Hypertextovodkaz"/>
            <w:noProof/>
          </w:rPr>
          <w:t>5</w:t>
        </w:r>
        <w:r w:rsidR="00686686">
          <w:rPr>
            <w:rFonts w:ascii="Calibri" w:hAnsi="Calibri"/>
            <w:noProof/>
            <w:szCs w:val="22"/>
          </w:rPr>
          <w:tab/>
        </w:r>
        <w:r w:rsidR="00686686" w:rsidRPr="00F842F4">
          <w:rPr>
            <w:rStyle w:val="Hypertextovodkaz"/>
            <w:noProof/>
          </w:rPr>
          <w:t>Informace pro odběr biologického materiálu včetně minimálního množství</w:t>
        </w:r>
        <w:r w:rsidR="00686686">
          <w:rPr>
            <w:noProof/>
            <w:webHidden/>
          </w:rPr>
          <w:tab/>
        </w:r>
        <w:r>
          <w:rPr>
            <w:noProof/>
            <w:webHidden/>
          </w:rPr>
          <w:fldChar w:fldCharType="begin"/>
        </w:r>
        <w:r w:rsidR="00686686">
          <w:rPr>
            <w:noProof/>
            <w:webHidden/>
          </w:rPr>
          <w:instrText xml:space="preserve"> PAGEREF _Toc45707713 \h </w:instrText>
        </w:r>
        <w:r>
          <w:rPr>
            <w:noProof/>
            <w:webHidden/>
          </w:rPr>
        </w:r>
        <w:r>
          <w:rPr>
            <w:noProof/>
            <w:webHidden/>
          </w:rPr>
          <w:fldChar w:fldCharType="separate"/>
        </w:r>
        <w:r w:rsidR="00582305">
          <w:rPr>
            <w:noProof/>
            <w:webHidden/>
          </w:rPr>
          <w:t>13</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14" w:history="1">
        <w:r w:rsidR="00686686" w:rsidRPr="00F842F4">
          <w:rPr>
            <w:rStyle w:val="Hypertextovodkaz"/>
            <w:noProof/>
          </w:rPr>
          <w:t>5.1</w:t>
        </w:r>
        <w:r w:rsidR="00686686">
          <w:rPr>
            <w:rFonts w:ascii="Calibri" w:hAnsi="Calibri"/>
            <w:noProof/>
            <w:szCs w:val="22"/>
          </w:rPr>
          <w:tab/>
        </w:r>
        <w:r w:rsidR="00686686" w:rsidRPr="00F842F4">
          <w:rPr>
            <w:rStyle w:val="Hypertextovodkaz"/>
            <w:noProof/>
          </w:rPr>
          <w:t>Odběr biologického materiálu a typy přijímaných vzorků</w:t>
        </w:r>
        <w:r w:rsidR="00686686">
          <w:rPr>
            <w:noProof/>
            <w:webHidden/>
          </w:rPr>
          <w:tab/>
        </w:r>
        <w:r>
          <w:rPr>
            <w:noProof/>
            <w:webHidden/>
          </w:rPr>
          <w:fldChar w:fldCharType="begin"/>
        </w:r>
        <w:r w:rsidR="00686686">
          <w:rPr>
            <w:noProof/>
            <w:webHidden/>
          </w:rPr>
          <w:instrText xml:space="preserve"> PAGEREF _Toc45707714 \h </w:instrText>
        </w:r>
        <w:r>
          <w:rPr>
            <w:noProof/>
            <w:webHidden/>
          </w:rPr>
        </w:r>
        <w:r>
          <w:rPr>
            <w:noProof/>
            <w:webHidden/>
          </w:rPr>
          <w:fldChar w:fldCharType="separate"/>
        </w:r>
        <w:r w:rsidR="00582305">
          <w:rPr>
            <w:noProof/>
            <w:webHidden/>
          </w:rPr>
          <w:t>13</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15" w:history="1">
        <w:r w:rsidR="00686686" w:rsidRPr="00F842F4">
          <w:rPr>
            <w:rStyle w:val="Hypertextovodkaz"/>
            <w:noProof/>
          </w:rPr>
          <w:t>5.2</w:t>
        </w:r>
        <w:r w:rsidR="00686686">
          <w:rPr>
            <w:rFonts w:ascii="Calibri" w:hAnsi="Calibri"/>
            <w:noProof/>
            <w:szCs w:val="22"/>
          </w:rPr>
          <w:tab/>
        </w:r>
        <w:r w:rsidR="00686686" w:rsidRPr="00F842F4">
          <w:rPr>
            <w:rStyle w:val="Hypertextovodkaz"/>
            <w:noProof/>
          </w:rPr>
          <w:t>Odběrové nádoby a minimální množství odebraného materiálu</w:t>
        </w:r>
        <w:r w:rsidR="00686686">
          <w:rPr>
            <w:noProof/>
            <w:webHidden/>
          </w:rPr>
          <w:tab/>
        </w:r>
        <w:r>
          <w:rPr>
            <w:noProof/>
            <w:webHidden/>
          </w:rPr>
          <w:fldChar w:fldCharType="begin"/>
        </w:r>
        <w:r w:rsidR="00686686">
          <w:rPr>
            <w:noProof/>
            <w:webHidden/>
          </w:rPr>
          <w:instrText xml:space="preserve"> PAGEREF _Toc45707715 \h </w:instrText>
        </w:r>
        <w:r>
          <w:rPr>
            <w:noProof/>
            <w:webHidden/>
          </w:rPr>
        </w:r>
        <w:r>
          <w:rPr>
            <w:noProof/>
            <w:webHidden/>
          </w:rPr>
          <w:fldChar w:fldCharType="separate"/>
        </w:r>
        <w:r w:rsidR="00582305">
          <w:rPr>
            <w:noProof/>
            <w:webHidden/>
          </w:rPr>
          <w:t>14</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16" w:history="1">
        <w:r w:rsidR="00686686" w:rsidRPr="00F842F4">
          <w:rPr>
            <w:rStyle w:val="Hypertextovodkaz"/>
            <w:noProof/>
          </w:rPr>
          <w:t>5.2.1</w:t>
        </w:r>
        <w:r w:rsidR="00686686">
          <w:rPr>
            <w:rFonts w:ascii="Calibri" w:hAnsi="Calibri"/>
            <w:noProof/>
            <w:szCs w:val="22"/>
          </w:rPr>
          <w:tab/>
        </w:r>
        <w:r w:rsidR="00686686" w:rsidRPr="00F842F4">
          <w:rPr>
            <w:rStyle w:val="Hypertextovodkaz"/>
            <w:noProof/>
          </w:rPr>
          <w:t>Hlavní chyby při odběru periferní krve</w:t>
        </w:r>
        <w:r w:rsidR="00686686">
          <w:rPr>
            <w:noProof/>
            <w:webHidden/>
          </w:rPr>
          <w:tab/>
        </w:r>
        <w:r>
          <w:rPr>
            <w:noProof/>
            <w:webHidden/>
          </w:rPr>
          <w:fldChar w:fldCharType="begin"/>
        </w:r>
        <w:r w:rsidR="00686686">
          <w:rPr>
            <w:noProof/>
            <w:webHidden/>
          </w:rPr>
          <w:instrText xml:space="preserve"> PAGEREF _Toc45707716 \h </w:instrText>
        </w:r>
        <w:r>
          <w:rPr>
            <w:noProof/>
            <w:webHidden/>
          </w:rPr>
        </w:r>
        <w:r>
          <w:rPr>
            <w:noProof/>
            <w:webHidden/>
          </w:rPr>
          <w:fldChar w:fldCharType="separate"/>
        </w:r>
        <w:r w:rsidR="00582305">
          <w:rPr>
            <w:noProof/>
            <w:webHidden/>
          </w:rPr>
          <w:t>14</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17" w:history="1">
        <w:r w:rsidR="00686686" w:rsidRPr="00F842F4">
          <w:rPr>
            <w:rStyle w:val="Hypertextovodkaz"/>
            <w:noProof/>
          </w:rPr>
          <w:t>5.2.2</w:t>
        </w:r>
        <w:r w:rsidR="00686686">
          <w:rPr>
            <w:rFonts w:ascii="Calibri" w:hAnsi="Calibri"/>
            <w:noProof/>
            <w:szCs w:val="22"/>
          </w:rPr>
          <w:tab/>
        </w:r>
        <w:r w:rsidR="00686686" w:rsidRPr="00F842F4">
          <w:rPr>
            <w:rStyle w:val="Hypertextovodkaz"/>
            <w:noProof/>
          </w:rPr>
          <w:t>Hlavní chyby při odběru slin</w:t>
        </w:r>
        <w:r w:rsidR="00686686">
          <w:rPr>
            <w:noProof/>
            <w:webHidden/>
          </w:rPr>
          <w:tab/>
        </w:r>
        <w:r>
          <w:rPr>
            <w:noProof/>
            <w:webHidden/>
          </w:rPr>
          <w:fldChar w:fldCharType="begin"/>
        </w:r>
        <w:r w:rsidR="00686686">
          <w:rPr>
            <w:noProof/>
            <w:webHidden/>
          </w:rPr>
          <w:instrText xml:space="preserve"> PAGEREF _Toc45707717 \h </w:instrText>
        </w:r>
        <w:r>
          <w:rPr>
            <w:noProof/>
            <w:webHidden/>
          </w:rPr>
        </w:r>
        <w:r>
          <w:rPr>
            <w:noProof/>
            <w:webHidden/>
          </w:rPr>
          <w:fldChar w:fldCharType="separate"/>
        </w:r>
        <w:r w:rsidR="00582305">
          <w:rPr>
            <w:noProof/>
            <w:webHidden/>
          </w:rPr>
          <w:t>15</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18" w:history="1">
        <w:r w:rsidR="00686686" w:rsidRPr="00F842F4">
          <w:rPr>
            <w:rStyle w:val="Hypertextovodkaz"/>
            <w:noProof/>
          </w:rPr>
          <w:t>5.2.3</w:t>
        </w:r>
        <w:r w:rsidR="00686686">
          <w:rPr>
            <w:rFonts w:ascii="Calibri" w:hAnsi="Calibri"/>
            <w:noProof/>
            <w:szCs w:val="22"/>
          </w:rPr>
          <w:tab/>
        </w:r>
        <w:r w:rsidR="00686686" w:rsidRPr="00F842F4">
          <w:rPr>
            <w:rStyle w:val="Hypertextovodkaz"/>
            <w:noProof/>
          </w:rPr>
          <w:t>Hlavní chyby při odběru, skladování a transportu krve a slin</w:t>
        </w:r>
        <w:r w:rsidR="00686686">
          <w:rPr>
            <w:noProof/>
            <w:webHidden/>
          </w:rPr>
          <w:tab/>
        </w:r>
        <w:r>
          <w:rPr>
            <w:noProof/>
            <w:webHidden/>
          </w:rPr>
          <w:fldChar w:fldCharType="begin"/>
        </w:r>
        <w:r w:rsidR="00686686">
          <w:rPr>
            <w:noProof/>
            <w:webHidden/>
          </w:rPr>
          <w:instrText xml:space="preserve"> PAGEREF _Toc45707718 \h </w:instrText>
        </w:r>
        <w:r>
          <w:rPr>
            <w:noProof/>
            <w:webHidden/>
          </w:rPr>
        </w:r>
        <w:r>
          <w:rPr>
            <w:noProof/>
            <w:webHidden/>
          </w:rPr>
          <w:fldChar w:fldCharType="separate"/>
        </w:r>
        <w:r w:rsidR="00582305">
          <w:rPr>
            <w:noProof/>
            <w:webHidden/>
          </w:rPr>
          <w:t>15</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19" w:history="1">
        <w:r w:rsidR="00686686" w:rsidRPr="00F842F4">
          <w:rPr>
            <w:rStyle w:val="Hypertextovodkaz"/>
            <w:noProof/>
          </w:rPr>
          <w:t>5.3</w:t>
        </w:r>
        <w:r w:rsidR="00686686">
          <w:rPr>
            <w:rFonts w:ascii="Calibri" w:hAnsi="Calibri"/>
            <w:noProof/>
            <w:szCs w:val="22"/>
          </w:rPr>
          <w:tab/>
        </w:r>
        <w:r w:rsidR="00686686" w:rsidRPr="00F842F4">
          <w:rPr>
            <w:rStyle w:val="Hypertextovodkaz"/>
            <w:noProof/>
          </w:rPr>
          <w:t>Transport a manipulace se vzorky</w:t>
        </w:r>
        <w:r w:rsidR="00686686">
          <w:rPr>
            <w:noProof/>
            <w:webHidden/>
          </w:rPr>
          <w:tab/>
        </w:r>
        <w:r>
          <w:rPr>
            <w:noProof/>
            <w:webHidden/>
          </w:rPr>
          <w:fldChar w:fldCharType="begin"/>
        </w:r>
        <w:r w:rsidR="00686686">
          <w:rPr>
            <w:noProof/>
            <w:webHidden/>
          </w:rPr>
          <w:instrText xml:space="preserve"> PAGEREF _Toc45707719 \h </w:instrText>
        </w:r>
        <w:r>
          <w:rPr>
            <w:noProof/>
            <w:webHidden/>
          </w:rPr>
        </w:r>
        <w:r>
          <w:rPr>
            <w:noProof/>
            <w:webHidden/>
          </w:rPr>
          <w:fldChar w:fldCharType="separate"/>
        </w:r>
        <w:r w:rsidR="00582305">
          <w:rPr>
            <w:noProof/>
            <w:webHidden/>
          </w:rPr>
          <w:t>15</w:t>
        </w:r>
        <w:r>
          <w:rPr>
            <w:noProof/>
            <w:webHidden/>
          </w:rPr>
          <w:fldChar w:fldCharType="end"/>
        </w:r>
      </w:hyperlink>
    </w:p>
    <w:p w:rsidR="00686686" w:rsidRDefault="00DF18E6">
      <w:pPr>
        <w:pStyle w:val="Obsah1"/>
        <w:tabs>
          <w:tab w:val="left" w:pos="440"/>
          <w:tab w:val="right" w:leader="dot" w:pos="9060"/>
        </w:tabs>
        <w:rPr>
          <w:rFonts w:ascii="Calibri" w:hAnsi="Calibri"/>
          <w:noProof/>
          <w:szCs w:val="22"/>
        </w:rPr>
      </w:pPr>
      <w:hyperlink w:anchor="_Toc45707720" w:history="1">
        <w:r w:rsidR="00686686" w:rsidRPr="00F842F4">
          <w:rPr>
            <w:rStyle w:val="Hypertextovodkaz"/>
            <w:noProof/>
          </w:rPr>
          <w:t>6</w:t>
        </w:r>
        <w:r w:rsidR="00686686">
          <w:rPr>
            <w:rFonts w:ascii="Calibri" w:hAnsi="Calibri"/>
            <w:noProof/>
            <w:szCs w:val="22"/>
          </w:rPr>
          <w:tab/>
        </w:r>
        <w:r w:rsidR="00686686" w:rsidRPr="00F842F4">
          <w:rPr>
            <w:rStyle w:val="Hypertextovodkaz"/>
            <w:noProof/>
          </w:rPr>
          <w:t>Skladování vzorků a dodatečná vyšetření</w:t>
        </w:r>
        <w:r w:rsidR="00686686">
          <w:rPr>
            <w:noProof/>
            <w:webHidden/>
          </w:rPr>
          <w:tab/>
        </w:r>
        <w:r>
          <w:rPr>
            <w:noProof/>
            <w:webHidden/>
          </w:rPr>
          <w:fldChar w:fldCharType="begin"/>
        </w:r>
        <w:r w:rsidR="00686686">
          <w:rPr>
            <w:noProof/>
            <w:webHidden/>
          </w:rPr>
          <w:instrText xml:space="preserve"> PAGEREF _Toc45707720 \h </w:instrText>
        </w:r>
        <w:r>
          <w:rPr>
            <w:noProof/>
            <w:webHidden/>
          </w:rPr>
        </w:r>
        <w:r>
          <w:rPr>
            <w:noProof/>
            <w:webHidden/>
          </w:rPr>
          <w:fldChar w:fldCharType="separate"/>
        </w:r>
        <w:r w:rsidR="00582305">
          <w:rPr>
            <w:noProof/>
            <w:webHidden/>
          </w:rPr>
          <w:t>16</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21" w:history="1">
        <w:r w:rsidR="00686686" w:rsidRPr="00F842F4">
          <w:rPr>
            <w:rStyle w:val="Hypertextovodkaz"/>
            <w:noProof/>
          </w:rPr>
          <w:t>6.1</w:t>
        </w:r>
        <w:r w:rsidR="00686686">
          <w:rPr>
            <w:rFonts w:ascii="Calibri" w:hAnsi="Calibri"/>
            <w:noProof/>
            <w:szCs w:val="22"/>
          </w:rPr>
          <w:tab/>
        </w:r>
        <w:r w:rsidR="00686686" w:rsidRPr="00F842F4">
          <w:rPr>
            <w:rStyle w:val="Hypertextovodkaz"/>
            <w:noProof/>
          </w:rPr>
          <w:t>Manipulace a skladování materiálu po vyšetření</w:t>
        </w:r>
        <w:r w:rsidR="00686686">
          <w:rPr>
            <w:noProof/>
            <w:webHidden/>
          </w:rPr>
          <w:tab/>
        </w:r>
        <w:r>
          <w:rPr>
            <w:noProof/>
            <w:webHidden/>
          </w:rPr>
          <w:fldChar w:fldCharType="begin"/>
        </w:r>
        <w:r w:rsidR="00686686">
          <w:rPr>
            <w:noProof/>
            <w:webHidden/>
          </w:rPr>
          <w:instrText xml:space="preserve"> PAGEREF _Toc45707721 \h </w:instrText>
        </w:r>
        <w:r>
          <w:rPr>
            <w:noProof/>
            <w:webHidden/>
          </w:rPr>
        </w:r>
        <w:r>
          <w:rPr>
            <w:noProof/>
            <w:webHidden/>
          </w:rPr>
          <w:fldChar w:fldCharType="separate"/>
        </w:r>
        <w:r w:rsidR="00582305">
          <w:rPr>
            <w:noProof/>
            <w:webHidden/>
          </w:rPr>
          <w:t>16</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22" w:history="1">
        <w:r w:rsidR="00686686" w:rsidRPr="00F842F4">
          <w:rPr>
            <w:rStyle w:val="Hypertextovodkaz"/>
            <w:noProof/>
          </w:rPr>
          <w:t>6.2</w:t>
        </w:r>
        <w:r w:rsidR="00686686">
          <w:rPr>
            <w:rFonts w:ascii="Calibri" w:hAnsi="Calibri"/>
            <w:noProof/>
            <w:szCs w:val="22"/>
          </w:rPr>
          <w:tab/>
        </w:r>
        <w:r w:rsidR="00686686" w:rsidRPr="00F842F4">
          <w:rPr>
            <w:rStyle w:val="Hypertextovodkaz"/>
            <w:noProof/>
          </w:rPr>
          <w:t>Dodatečná vyšetření a časový interval pro jejich požadování</w:t>
        </w:r>
        <w:r w:rsidR="00686686">
          <w:rPr>
            <w:noProof/>
            <w:webHidden/>
          </w:rPr>
          <w:tab/>
        </w:r>
        <w:r>
          <w:rPr>
            <w:noProof/>
            <w:webHidden/>
          </w:rPr>
          <w:fldChar w:fldCharType="begin"/>
        </w:r>
        <w:r w:rsidR="00686686">
          <w:rPr>
            <w:noProof/>
            <w:webHidden/>
          </w:rPr>
          <w:instrText xml:space="preserve"> PAGEREF _Toc45707722 \h </w:instrText>
        </w:r>
        <w:r>
          <w:rPr>
            <w:noProof/>
            <w:webHidden/>
          </w:rPr>
        </w:r>
        <w:r>
          <w:rPr>
            <w:noProof/>
            <w:webHidden/>
          </w:rPr>
          <w:fldChar w:fldCharType="separate"/>
        </w:r>
        <w:r w:rsidR="00582305">
          <w:rPr>
            <w:noProof/>
            <w:webHidden/>
          </w:rPr>
          <w:t>17</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23" w:history="1">
        <w:r w:rsidR="00686686" w:rsidRPr="00F842F4">
          <w:rPr>
            <w:rStyle w:val="Hypertextovodkaz"/>
            <w:noProof/>
          </w:rPr>
          <w:t>6.3</w:t>
        </w:r>
        <w:r w:rsidR="00686686">
          <w:rPr>
            <w:rFonts w:ascii="Calibri" w:hAnsi="Calibri"/>
            <w:noProof/>
            <w:szCs w:val="22"/>
          </w:rPr>
          <w:tab/>
        </w:r>
        <w:r w:rsidR="00686686" w:rsidRPr="00F842F4">
          <w:rPr>
            <w:rStyle w:val="Hypertextovodkaz"/>
            <w:noProof/>
          </w:rPr>
          <w:t>Opakování vyšetření stejného primárního vzorku</w:t>
        </w:r>
        <w:r w:rsidR="00686686">
          <w:rPr>
            <w:noProof/>
            <w:webHidden/>
          </w:rPr>
          <w:tab/>
        </w:r>
        <w:r>
          <w:rPr>
            <w:noProof/>
            <w:webHidden/>
          </w:rPr>
          <w:fldChar w:fldCharType="begin"/>
        </w:r>
        <w:r w:rsidR="00686686">
          <w:rPr>
            <w:noProof/>
            <w:webHidden/>
          </w:rPr>
          <w:instrText xml:space="preserve"> PAGEREF _Toc45707723 \h </w:instrText>
        </w:r>
        <w:r>
          <w:rPr>
            <w:noProof/>
            <w:webHidden/>
          </w:rPr>
        </w:r>
        <w:r>
          <w:rPr>
            <w:noProof/>
            <w:webHidden/>
          </w:rPr>
          <w:fldChar w:fldCharType="separate"/>
        </w:r>
        <w:r w:rsidR="00582305">
          <w:rPr>
            <w:noProof/>
            <w:webHidden/>
          </w:rPr>
          <w:t>17</w:t>
        </w:r>
        <w:r>
          <w:rPr>
            <w:noProof/>
            <w:webHidden/>
          </w:rPr>
          <w:fldChar w:fldCharType="end"/>
        </w:r>
      </w:hyperlink>
    </w:p>
    <w:p w:rsidR="00686686" w:rsidRDefault="00DF18E6">
      <w:pPr>
        <w:pStyle w:val="Obsah1"/>
        <w:tabs>
          <w:tab w:val="left" w:pos="440"/>
          <w:tab w:val="right" w:leader="dot" w:pos="9060"/>
        </w:tabs>
        <w:rPr>
          <w:rFonts w:ascii="Calibri" w:hAnsi="Calibri"/>
          <w:noProof/>
          <w:szCs w:val="22"/>
        </w:rPr>
      </w:pPr>
      <w:hyperlink w:anchor="_Toc45707724" w:history="1">
        <w:r w:rsidR="00686686" w:rsidRPr="00F842F4">
          <w:rPr>
            <w:rStyle w:val="Hypertextovodkaz"/>
            <w:noProof/>
          </w:rPr>
          <w:t>7</w:t>
        </w:r>
        <w:r w:rsidR="00686686">
          <w:rPr>
            <w:rFonts w:ascii="Calibri" w:hAnsi="Calibri"/>
            <w:noProof/>
            <w:szCs w:val="22"/>
          </w:rPr>
          <w:tab/>
        </w:r>
        <w:r w:rsidR="00686686" w:rsidRPr="00F842F4">
          <w:rPr>
            <w:rStyle w:val="Hypertextovodkaz"/>
            <w:noProof/>
          </w:rPr>
          <w:t>Vydávání výsledků a komunikace s laboratoří</w:t>
        </w:r>
        <w:r w:rsidR="00686686">
          <w:rPr>
            <w:noProof/>
            <w:webHidden/>
          </w:rPr>
          <w:tab/>
        </w:r>
        <w:r>
          <w:rPr>
            <w:noProof/>
            <w:webHidden/>
          </w:rPr>
          <w:fldChar w:fldCharType="begin"/>
        </w:r>
        <w:r w:rsidR="00686686">
          <w:rPr>
            <w:noProof/>
            <w:webHidden/>
          </w:rPr>
          <w:instrText xml:space="preserve"> PAGEREF _Toc45707724 \h </w:instrText>
        </w:r>
        <w:r>
          <w:rPr>
            <w:noProof/>
            <w:webHidden/>
          </w:rPr>
        </w:r>
        <w:r>
          <w:rPr>
            <w:noProof/>
            <w:webHidden/>
          </w:rPr>
          <w:fldChar w:fldCharType="separate"/>
        </w:r>
        <w:r w:rsidR="00582305">
          <w:rPr>
            <w:noProof/>
            <w:webHidden/>
          </w:rPr>
          <w:t>17</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25" w:history="1">
        <w:r w:rsidR="00686686" w:rsidRPr="00F842F4">
          <w:rPr>
            <w:rStyle w:val="Hypertextovodkaz"/>
            <w:noProof/>
          </w:rPr>
          <w:t>7.1</w:t>
        </w:r>
        <w:r w:rsidR="00686686">
          <w:rPr>
            <w:rFonts w:ascii="Calibri" w:hAnsi="Calibri"/>
            <w:noProof/>
            <w:szCs w:val="22"/>
          </w:rPr>
          <w:tab/>
        </w:r>
        <w:r w:rsidR="00686686" w:rsidRPr="00F842F4">
          <w:rPr>
            <w:rStyle w:val="Hypertextovodkaz"/>
            <w:noProof/>
          </w:rPr>
          <w:t>Informace o formách vydávání výsledků</w:t>
        </w:r>
        <w:r w:rsidR="00686686">
          <w:rPr>
            <w:noProof/>
            <w:webHidden/>
          </w:rPr>
          <w:tab/>
        </w:r>
        <w:r>
          <w:rPr>
            <w:noProof/>
            <w:webHidden/>
          </w:rPr>
          <w:fldChar w:fldCharType="begin"/>
        </w:r>
        <w:r w:rsidR="00686686">
          <w:rPr>
            <w:noProof/>
            <w:webHidden/>
          </w:rPr>
          <w:instrText xml:space="preserve"> PAGEREF _Toc45707725 \h </w:instrText>
        </w:r>
        <w:r>
          <w:rPr>
            <w:noProof/>
            <w:webHidden/>
          </w:rPr>
        </w:r>
        <w:r>
          <w:rPr>
            <w:noProof/>
            <w:webHidden/>
          </w:rPr>
          <w:fldChar w:fldCharType="separate"/>
        </w:r>
        <w:r w:rsidR="00582305">
          <w:rPr>
            <w:noProof/>
            <w:webHidden/>
          </w:rPr>
          <w:t>17</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26" w:history="1">
        <w:r w:rsidR="00686686" w:rsidRPr="00F842F4">
          <w:rPr>
            <w:rStyle w:val="Hypertextovodkaz"/>
            <w:noProof/>
          </w:rPr>
          <w:t>7.2</w:t>
        </w:r>
        <w:r w:rsidR="00686686">
          <w:rPr>
            <w:rFonts w:ascii="Calibri" w:hAnsi="Calibri"/>
            <w:noProof/>
            <w:szCs w:val="22"/>
          </w:rPr>
          <w:tab/>
        </w:r>
        <w:r w:rsidR="00686686" w:rsidRPr="00F842F4">
          <w:rPr>
            <w:rStyle w:val="Hypertextovodkaz"/>
            <w:noProof/>
          </w:rPr>
          <w:t>Změny výsledků a nálezů</w:t>
        </w:r>
        <w:r w:rsidR="00686686">
          <w:rPr>
            <w:noProof/>
            <w:webHidden/>
          </w:rPr>
          <w:tab/>
        </w:r>
        <w:r>
          <w:rPr>
            <w:noProof/>
            <w:webHidden/>
          </w:rPr>
          <w:fldChar w:fldCharType="begin"/>
        </w:r>
        <w:r w:rsidR="00686686">
          <w:rPr>
            <w:noProof/>
            <w:webHidden/>
          </w:rPr>
          <w:instrText xml:space="preserve"> PAGEREF _Toc45707726 \h </w:instrText>
        </w:r>
        <w:r>
          <w:rPr>
            <w:noProof/>
            <w:webHidden/>
          </w:rPr>
        </w:r>
        <w:r>
          <w:rPr>
            <w:noProof/>
            <w:webHidden/>
          </w:rPr>
          <w:fldChar w:fldCharType="separate"/>
        </w:r>
        <w:r w:rsidR="00582305">
          <w:rPr>
            <w:noProof/>
            <w:webHidden/>
          </w:rPr>
          <w:t>18</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27" w:history="1">
        <w:r w:rsidR="00686686" w:rsidRPr="00F842F4">
          <w:rPr>
            <w:rStyle w:val="Hypertextovodkaz"/>
            <w:noProof/>
          </w:rPr>
          <w:t>7.3</w:t>
        </w:r>
        <w:r w:rsidR="00686686">
          <w:rPr>
            <w:rFonts w:ascii="Calibri" w:hAnsi="Calibri"/>
            <w:noProof/>
            <w:szCs w:val="22"/>
          </w:rPr>
          <w:tab/>
        </w:r>
        <w:r w:rsidR="00686686" w:rsidRPr="00F842F4">
          <w:rPr>
            <w:rStyle w:val="Hypertextovodkaz"/>
            <w:noProof/>
          </w:rPr>
          <w:t>Intervaly od dodání biologického materiálu k vydání výsledků</w:t>
        </w:r>
        <w:r w:rsidR="00686686">
          <w:rPr>
            <w:noProof/>
            <w:webHidden/>
          </w:rPr>
          <w:tab/>
        </w:r>
        <w:r>
          <w:rPr>
            <w:noProof/>
            <w:webHidden/>
          </w:rPr>
          <w:fldChar w:fldCharType="begin"/>
        </w:r>
        <w:r w:rsidR="00686686">
          <w:rPr>
            <w:noProof/>
            <w:webHidden/>
          </w:rPr>
          <w:instrText xml:space="preserve"> PAGEREF _Toc45707727 \h </w:instrText>
        </w:r>
        <w:r>
          <w:rPr>
            <w:noProof/>
            <w:webHidden/>
          </w:rPr>
        </w:r>
        <w:r>
          <w:rPr>
            <w:noProof/>
            <w:webHidden/>
          </w:rPr>
          <w:fldChar w:fldCharType="separate"/>
        </w:r>
        <w:r w:rsidR="00582305">
          <w:rPr>
            <w:noProof/>
            <w:webHidden/>
          </w:rPr>
          <w:t>18</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28" w:history="1">
        <w:r w:rsidR="00686686" w:rsidRPr="00F842F4">
          <w:rPr>
            <w:rStyle w:val="Hypertextovodkaz"/>
            <w:noProof/>
          </w:rPr>
          <w:t>7.4</w:t>
        </w:r>
        <w:r w:rsidR="00686686">
          <w:rPr>
            <w:rFonts w:ascii="Calibri" w:hAnsi="Calibri"/>
            <w:noProof/>
            <w:szCs w:val="22"/>
          </w:rPr>
          <w:tab/>
        </w:r>
        <w:r w:rsidR="00686686" w:rsidRPr="00F842F4">
          <w:rPr>
            <w:rStyle w:val="Hypertextovodkaz"/>
            <w:noProof/>
          </w:rPr>
          <w:t>Konzultační činnost laboratoře</w:t>
        </w:r>
        <w:r w:rsidR="00686686">
          <w:rPr>
            <w:noProof/>
            <w:webHidden/>
          </w:rPr>
          <w:tab/>
        </w:r>
        <w:r>
          <w:rPr>
            <w:noProof/>
            <w:webHidden/>
          </w:rPr>
          <w:fldChar w:fldCharType="begin"/>
        </w:r>
        <w:r w:rsidR="00686686">
          <w:rPr>
            <w:noProof/>
            <w:webHidden/>
          </w:rPr>
          <w:instrText xml:space="preserve"> PAGEREF _Toc45707728 \h </w:instrText>
        </w:r>
        <w:r>
          <w:rPr>
            <w:noProof/>
            <w:webHidden/>
          </w:rPr>
        </w:r>
        <w:r>
          <w:rPr>
            <w:noProof/>
            <w:webHidden/>
          </w:rPr>
          <w:fldChar w:fldCharType="separate"/>
        </w:r>
        <w:r w:rsidR="00582305">
          <w:rPr>
            <w:noProof/>
            <w:webHidden/>
          </w:rPr>
          <w:t>19</w:t>
        </w:r>
        <w:r>
          <w:rPr>
            <w:noProof/>
            <w:webHidden/>
          </w:rPr>
          <w:fldChar w:fldCharType="end"/>
        </w:r>
      </w:hyperlink>
    </w:p>
    <w:p w:rsidR="00686686" w:rsidRDefault="00DF18E6">
      <w:pPr>
        <w:pStyle w:val="Obsah2"/>
        <w:tabs>
          <w:tab w:val="left" w:pos="880"/>
          <w:tab w:val="right" w:leader="dot" w:pos="9060"/>
        </w:tabs>
        <w:rPr>
          <w:rFonts w:ascii="Calibri" w:hAnsi="Calibri"/>
          <w:noProof/>
          <w:szCs w:val="22"/>
        </w:rPr>
      </w:pPr>
      <w:hyperlink w:anchor="_Toc45707729" w:history="1">
        <w:r w:rsidR="00686686" w:rsidRPr="00F842F4">
          <w:rPr>
            <w:rStyle w:val="Hypertextovodkaz"/>
            <w:noProof/>
          </w:rPr>
          <w:t>7.5</w:t>
        </w:r>
        <w:r w:rsidR="00686686">
          <w:rPr>
            <w:rFonts w:ascii="Calibri" w:hAnsi="Calibri"/>
            <w:noProof/>
            <w:szCs w:val="22"/>
          </w:rPr>
          <w:tab/>
        </w:r>
        <w:r w:rsidR="00686686" w:rsidRPr="00F842F4">
          <w:rPr>
            <w:rStyle w:val="Hypertextovodkaz"/>
            <w:noProof/>
          </w:rPr>
          <w:t>Způsob řešení stížností</w:t>
        </w:r>
        <w:r w:rsidR="00686686">
          <w:rPr>
            <w:noProof/>
            <w:webHidden/>
          </w:rPr>
          <w:tab/>
        </w:r>
        <w:r>
          <w:rPr>
            <w:noProof/>
            <w:webHidden/>
          </w:rPr>
          <w:fldChar w:fldCharType="begin"/>
        </w:r>
        <w:r w:rsidR="00686686">
          <w:rPr>
            <w:noProof/>
            <w:webHidden/>
          </w:rPr>
          <w:instrText xml:space="preserve"> PAGEREF _Toc45707729 \h </w:instrText>
        </w:r>
        <w:r>
          <w:rPr>
            <w:noProof/>
            <w:webHidden/>
          </w:rPr>
        </w:r>
        <w:r>
          <w:rPr>
            <w:noProof/>
            <w:webHidden/>
          </w:rPr>
          <w:fldChar w:fldCharType="separate"/>
        </w:r>
        <w:r w:rsidR="00582305">
          <w:rPr>
            <w:noProof/>
            <w:webHidden/>
          </w:rPr>
          <w:t>19</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30" w:history="1">
        <w:r w:rsidR="00686686" w:rsidRPr="00F842F4">
          <w:rPr>
            <w:rStyle w:val="Hypertextovodkaz"/>
            <w:noProof/>
          </w:rPr>
          <w:t>7.5.1</w:t>
        </w:r>
        <w:r w:rsidR="00686686">
          <w:rPr>
            <w:rFonts w:ascii="Calibri" w:hAnsi="Calibri"/>
            <w:noProof/>
            <w:szCs w:val="22"/>
          </w:rPr>
          <w:tab/>
        </w:r>
        <w:r w:rsidR="00686686" w:rsidRPr="00F842F4">
          <w:rPr>
            <w:rStyle w:val="Hypertextovodkaz"/>
            <w:noProof/>
          </w:rPr>
          <w:t>Příjem stížností</w:t>
        </w:r>
        <w:r w:rsidR="00686686">
          <w:rPr>
            <w:noProof/>
            <w:webHidden/>
          </w:rPr>
          <w:tab/>
        </w:r>
        <w:r>
          <w:rPr>
            <w:noProof/>
            <w:webHidden/>
          </w:rPr>
          <w:fldChar w:fldCharType="begin"/>
        </w:r>
        <w:r w:rsidR="00686686">
          <w:rPr>
            <w:noProof/>
            <w:webHidden/>
          </w:rPr>
          <w:instrText xml:space="preserve"> PAGEREF _Toc45707730 \h </w:instrText>
        </w:r>
        <w:r>
          <w:rPr>
            <w:noProof/>
            <w:webHidden/>
          </w:rPr>
        </w:r>
        <w:r>
          <w:rPr>
            <w:noProof/>
            <w:webHidden/>
          </w:rPr>
          <w:fldChar w:fldCharType="separate"/>
        </w:r>
        <w:r w:rsidR="00582305">
          <w:rPr>
            <w:noProof/>
            <w:webHidden/>
          </w:rPr>
          <w:t>19</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31" w:history="1">
        <w:r w:rsidR="00686686" w:rsidRPr="00F842F4">
          <w:rPr>
            <w:rStyle w:val="Hypertextovodkaz"/>
            <w:noProof/>
          </w:rPr>
          <w:t>7.5.2</w:t>
        </w:r>
        <w:r w:rsidR="00686686">
          <w:rPr>
            <w:rFonts w:ascii="Calibri" w:hAnsi="Calibri"/>
            <w:noProof/>
            <w:szCs w:val="22"/>
          </w:rPr>
          <w:tab/>
        </w:r>
        <w:r w:rsidR="00686686" w:rsidRPr="00F842F4">
          <w:rPr>
            <w:rStyle w:val="Hypertextovodkaz"/>
            <w:noProof/>
          </w:rPr>
          <w:t>Vyřízení ústní stížnosti</w:t>
        </w:r>
        <w:r w:rsidR="00686686">
          <w:rPr>
            <w:noProof/>
            <w:webHidden/>
          </w:rPr>
          <w:tab/>
        </w:r>
        <w:r>
          <w:rPr>
            <w:noProof/>
            <w:webHidden/>
          </w:rPr>
          <w:fldChar w:fldCharType="begin"/>
        </w:r>
        <w:r w:rsidR="00686686">
          <w:rPr>
            <w:noProof/>
            <w:webHidden/>
          </w:rPr>
          <w:instrText xml:space="preserve"> PAGEREF _Toc45707731 \h </w:instrText>
        </w:r>
        <w:r>
          <w:rPr>
            <w:noProof/>
            <w:webHidden/>
          </w:rPr>
        </w:r>
        <w:r>
          <w:rPr>
            <w:noProof/>
            <w:webHidden/>
          </w:rPr>
          <w:fldChar w:fldCharType="separate"/>
        </w:r>
        <w:r w:rsidR="00582305">
          <w:rPr>
            <w:noProof/>
            <w:webHidden/>
          </w:rPr>
          <w:t>19</w:t>
        </w:r>
        <w:r>
          <w:rPr>
            <w:noProof/>
            <w:webHidden/>
          </w:rPr>
          <w:fldChar w:fldCharType="end"/>
        </w:r>
      </w:hyperlink>
    </w:p>
    <w:p w:rsidR="00686686" w:rsidRDefault="00DF18E6">
      <w:pPr>
        <w:pStyle w:val="Obsah3"/>
        <w:tabs>
          <w:tab w:val="left" w:pos="1320"/>
          <w:tab w:val="right" w:leader="dot" w:pos="9060"/>
        </w:tabs>
        <w:rPr>
          <w:rFonts w:ascii="Calibri" w:hAnsi="Calibri"/>
          <w:noProof/>
          <w:szCs w:val="22"/>
        </w:rPr>
      </w:pPr>
      <w:hyperlink w:anchor="_Toc45707732" w:history="1">
        <w:r w:rsidR="00686686" w:rsidRPr="00F842F4">
          <w:rPr>
            <w:rStyle w:val="Hypertextovodkaz"/>
            <w:noProof/>
          </w:rPr>
          <w:t>7.5.3</w:t>
        </w:r>
        <w:r w:rsidR="00686686">
          <w:rPr>
            <w:rFonts w:ascii="Calibri" w:hAnsi="Calibri"/>
            <w:noProof/>
            <w:szCs w:val="22"/>
          </w:rPr>
          <w:tab/>
        </w:r>
        <w:r w:rsidR="00686686" w:rsidRPr="00F842F4">
          <w:rPr>
            <w:rStyle w:val="Hypertextovodkaz"/>
            <w:noProof/>
          </w:rPr>
          <w:t>Vyřízení písemné stížnosti</w:t>
        </w:r>
        <w:r w:rsidR="00686686">
          <w:rPr>
            <w:noProof/>
            <w:webHidden/>
          </w:rPr>
          <w:tab/>
        </w:r>
        <w:r>
          <w:rPr>
            <w:noProof/>
            <w:webHidden/>
          </w:rPr>
          <w:fldChar w:fldCharType="begin"/>
        </w:r>
        <w:r w:rsidR="00686686">
          <w:rPr>
            <w:noProof/>
            <w:webHidden/>
          </w:rPr>
          <w:instrText xml:space="preserve"> PAGEREF _Toc45707732 \h </w:instrText>
        </w:r>
        <w:r>
          <w:rPr>
            <w:noProof/>
            <w:webHidden/>
          </w:rPr>
        </w:r>
        <w:r>
          <w:rPr>
            <w:noProof/>
            <w:webHidden/>
          </w:rPr>
          <w:fldChar w:fldCharType="separate"/>
        </w:r>
        <w:r w:rsidR="00582305">
          <w:rPr>
            <w:noProof/>
            <w:webHidden/>
          </w:rPr>
          <w:t>19</w:t>
        </w:r>
        <w:r>
          <w:rPr>
            <w:noProof/>
            <w:webHidden/>
          </w:rPr>
          <w:fldChar w:fldCharType="end"/>
        </w:r>
      </w:hyperlink>
    </w:p>
    <w:p w:rsidR="00686686" w:rsidRDefault="00DF18E6" w:rsidP="008F6269">
      <w:pPr>
        <w:rPr>
          <w:b/>
          <w:bCs/>
        </w:rPr>
      </w:pPr>
      <w:r>
        <w:fldChar w:fldCharType="end"/>
      </w:r>
      <w:bookmarkStart w:id="14" w:name="_Toc503859131"/>
    </w:p>
    <w:p w:rsidR="00686686" w:rsidRDefault="00686686">
      <w:pPr>
        <w:spacing w:after="160" w:line="259" w:lineRule="auto"/>
        <w:jc w:val="left"/>
        <w:rPr>
          <w:sz w:val="28"/>
          <w:szCs w:val="28"/>
        </w:rPr>
      </w:pPr>
      <w:r>
        <w:rPr>
          <w:sz w:val="28"/>
          <w:szCs w:val="28"/>
        </w:rPr>
        <w:br w:type="page"/>
      </w:r>
    </w:p>
    <w:p w:rsidR="00686686" w:rsidRPr="008F6269" w:rsidRDefault="00686686" w:rsidP="008F6269">
      <w:r w:rsidRPr="006165AC">
        <w:rPr>
          <w:sz w:val="28"/>
          <w:szCs w:val="28"/>
        </w:rPr>
        <w:lastRenderedPageBreak/>
        <w:t>Úvod</w:t>
      </w:r>
      <w:bookmarkStart w:id="15" w:name="_Toc1050533"/>
      <w:bookmarkStart w:id="16" w:name="_Toc1134251"/>
      <w:bookmarkEnd w:id="14"/>
    </w:p>
    <w:p w:rsidR="00686686" w:rsidRPr="00F35EE2" w:rsidRDefault="00686686" w:rsidP="00A124E9">
      <w:bookmarkStart w:id="17" w:name="_Toc25584219"/>
      <w:r w:rsidRPr="003114B3">
        <w:t>Tuto la</w:t>
      </w:r>
      <w:r>
        <w:t xml:space="preserve">boratorní příručku (LP) vydala Klinika dětské neurologie 2. lékařské fakulty a Fakultní nemocnice Motol – </w:t>
      </w:r>
      <w:proofErr w:type="spellStart"/>
      <w:r>
        <w:t>Neurogenetická</w:t>
      </w:r>
      <w:proofErr w:type="spellEnd"/>
      <w:r>
        <w:t xml:space="preserve"> labo</w:t>
      </w:r>
      <w:r w:rsidRPr="003114B3">
        <w:t xml:space="preserve">ratoř (dále jen laboratoř) za účelem zlepšení komunikace s uživateli laboratorních služeb. LP obsahuje základní informace o laboratoři, informuje o prováděných vyšetřeních a podává i další informace týkající se provozu, žádanek, odběru a příjmu vzorků, zacházení se vzorky, transportu vzorků, vydávání výsledků a o konzultačních činnostech laboratoře. LP je zpracována tak, aby plně vyhovovala normě ČSN EN ISO 15189:2013. Její aktuální verze je dostupná </w:t>
      </w:r>
      <w:r>
        <w:t>v </w:t>
      </w:r>
      <w:proofErr w:type="spellStart"/>
      <w:r>
        <w:t>LotusLab</w:t>
      </w:r>
      <w:proofErr w:type="spellEnd"/>
      <w:r>
        <w:t xml:space="preserve"> </w:t>
      </w:r>
      <w:r w:rsidRPr="003114B3">
        <w:t xml:space="preserve">a na </w:t>
      </w:r>
      <w:r w:rsidRPr="00ED7A57">
        <w:t xml:space="preserve">webových stránkách </w:t>
      </w:r>
      <w:hyperlink r:id="rId10" w:history="1">
        <w:r w:rsidR="00ED7A57" w:rsidRPr="00ED7A57">
          <w:rPr>
            <w:rStyle w:val="Hypertextovodkaz"/>
          </w:rPr>
          <w:t>https://www.fnmotol.cz/neurogeneticka-laborator/</w:t>
        </w:r>
      </w:hyperlink>
      <w:r w:rsidR="00546541">
        <w:t xml:space="preserve">. </w:t>
      </w:r>
      <w:r w:rsidRPr="003114B3">
        <w:t>Tištěná verze je k dispozici u manažera kvality laboratoře.</w:t>
      </w:r>
      <w:bookmarkStart w:id="18" w:name="_Toc1050534"/>
      <w:bookmarkStart w:id="19" w:name="_Toc1134252"/>
      <w:bookmarkEnd w:id="15"/>
      <w:bookmarkEnd w:id="16"/>
      <w:r w:rsidRPr="003114B3">
        <w:t xml:space="preserve"> LP vyhovuje požadavkům odborné směrnice č. IOS_1/2010 v platném znění, „</w:t>
      </w:r>
      <w:r w:rsidRPr="003114B3">
        <w:rPr>
          <w:i/>
          <w:iCs/>
        </w:rPr>
        <w:t>Laboratorní služby a systém POCT ve FN Motol</w:t>
      </w:r>
      <w:r w:rsidRPr="003114B3">
        <w:t>“. Laboratoř naplňuje povinnosti zakotvené v nařízení Evropského parlamentu a Rady (EU) 2016/679 o ochraně fyzických osob v souvislosti se zpracováním osobních údajů a o volném pohybu těchto údajů (GDPR). Prohlášení o zpracování osobních údajů dle tohoto nařízení je dostupné na webových stránkách FN Motol (</w:t>
      </w:r>
      <w:hyperlink r:id="rId11" w:history="1">
        <w:r w:rsidRPr="00CB2796">
          <w:rPr>
            <w:rStyle w:val="Hypertextovodkaz"/>
          </w:rPr>
          <w:t>https://www.fnmotol.cz</w:t>
        </w:r>
      </w:hyperlink>
      <w:r w:rsidRPr="003114B3">
        <w:t>).</w:t>
      </w:r>
      <w:bookmarkStart w:id="20" w:name="_GoBack"/>
      <w:bookmarkEnd w:id="20"/>
    </w:p>
    <w:p w:rsidR="00686686" w:rsidRPr="0027245E" w:rsidRDefault="00686686" w:rsidP="008F6269">
      <w:pPr>
        <w:rPr>
          <w:sz w:val="28"/>
          <w:szCs w:val="28"/>
        </w:rPr>
      </w:pPr>
      <w:r>
        <w:t xml:space="preserve">Laboratoř, respektive její vedení, odpovídá za provádění služeb zdravotnické laboratoře včetně odpovídajících interpretací a poradenských služeb. Tyto služby jsou prováděny v požadovaném rozsahu, kvalifikovaně a s definovanou nejistotou tak, aby byly prováděny operativně a ve shodě s platnými normami, vyhláškami, zákony a ve shodě s požadavky žadatele, kontrolních orgánů nebo organizací poskytujících jejich uznání. </w:t>
      </w:r>
      <w:r w:rsidRPr="00C06C79">
        <w:t>Laboratoř provádí výše zmíněné služby ve stálých prostorách se stálým laboratorním vybavením, kde jsou zajišťovány trvale vyhovující podmínky prostředí pro činnost zdravotnické laboratoře.</w:t>
      </w:r>
      <w:bookmarkEnd w:id="17"/>
      <w:bookmarkEnd w:id="18"/>
      <w:bookmarkEnd w:id="19"/>
    </w:p>
    <w:p w:rsidR="00686686" w:rsidRPr="00945437" w:rsidRDefault="00BC69A5" w:rsidP="008F6269">
      <w:r>
        <w:t xml:space="preserve">Laboratoř založil prof. MUDr. Pavel </w:t>
      </w:r>
      <w:proofErr w:type="spellStart"/>
      <w:r>
        <w:t>Seeman</w:t>
      </w:r>
      <w:proofErr w:type="spellEnd"/>
      <w:r>
        <w:t xml:space="preserve">, </w:t>
      </w:r>
      <w:proofErr w:type="spellStart"/>
      <w:r>
        <w:t>Ph.D</w:t>
      </w:r>
      <w:proofErr w:type="spellEnd"/>
      <w:r>
        <w:t xml:space="preserve">., který </w:t>
      </w:r>
      <w:r w:rsidR="00686686">
        <w:t>před více než 20 lety zavedl v ČR DNA diagnostiku pro</w:t>
      </w:r>
      <w:r w:rsidR="00686686" w:rsidRPr="00FE4C51">
        <w:t xml:space="preserve"> pacienty s dědičnou neuropatií </w:t>
      </w:r>
      <w:r w:rsidR="00C06C79">
        <w:t xml:space="preserve">a </w:t>
      </w:r>
      <w:r w:rsidR="00686686" w:rsidRPr="00FE4C51">
        <w:t>další</w:t>
      </w:r>
      <w:r w:rsidR="00F62EE3">
        <w:t>mi</w:t>
      </w:r>
      <w:r w:rsidR="00C06C79">
        <w:t xml:space="preserve"> </w:t>
      </w:r>
      <w:proofErr w:type="spellStart"/>
      <w:r w:rsidR="00F62EE3">
        <w:t>neurogenetickými</w:t>
      </w:r>
      <w:proofErr w:type="spellEnd"/>
      <w:r w:rsidR="00686686" w:rsidRPr="00FE4C51">
        <w:t xml:space="preserve"> onemocnění</w:t>
      </w:r>
      <w:r w:rsidR="00F62EE3">
        <w:t>mi</w:t>
      </w:r>
      <w:r w:rsidR="00686686">
        <w:t>.</w:t>
      </w:r>
      <w:r w:rsidR="00686686" w:rsidRPr="00FE4C51">
        <w:t xml:space="preserve"> Samozřejmostí je </w:t>
      </w:r>
      <w:r w:rsidR="00686686">
        <w:t xml:space="preserve">dlouholetá </w:t>
      </w:r>
      <w:r w:rsidR="00686686" w:rsidRPr="00FE4C51">
        <w:t xml:space="preserve">spolupráce se zahraničními pracovišti v Německu, Rakousku, Nizozemí, Velké Británii a USA o </w:t>
      </w:r>
      <w:r w:rsidR="00686686" w:rsidRPr="00945437">
        <w:t xml:space="preserve">čemž svědčí i </w:t>
      </w:r>
      <w:r w:rsidR="00686686">
        <w:t>mnoho</w:t>
      </w:r>
      <w:r w:rsidR="00686686" w:rsidRPr="00945437">
        <w:t xml:space="preserve"> společných publikací.</w:t>
      </w:r>
    </w:p>
    <w:p w:rsidR="00686686" w:rsidRDefault="00686686" w:rsidP="008F6269">
      <w:r w:rsidRPr="00945437">
        <w:t xml:space="preserve">Laboratoř je součástí společných vyšetřovacích </w:t>
      </w:r>
      <w:r>
        <w:t xml:space="preserve">složek </w:t>
      </w:r>
      <w:r w:rsidRPr="00945437">
        <w:t>Fakultní nemocnice v</w:t>
      </w:r>
      <w:r>
        <w:t> </w:t>
      </w:r>
      <w:r w:rsidRPr="00945437">
        <w:t>Motole</w:t>
      </w:r>
      <w:r>
        <w:t xml:space="preserve"> a 2. LF UK</w:t>
      </w:r>
      <w:r w:rsidRPr="00945437">
        <w:t xml:space="preserve">. Pracoviště poskytuje laboratorní služby pro FN Motol a další nemocnice v České Republice. Laboratoř má zaveden systém interního hodnocení kvality </w:t>
      </w:r>
      <w:r>
        <w:t xml:space="preserve">(IHK) </w:t>
      </w:r>
      <w:r w:rsidRPr="00945437">
        <w:t>a účastní se</w:t>
      </w:r>
      <w:r>
        <w:t xml:space="preserve"> již téměř 20 let</w:t>
      </w:r>
      <w:r w:rsidRPr="00945437">
        <w:t xml:space="preserve"> </w:t>
      </w:r>
      <w:r>
        <w:t xml:space="preserve">také </w:t>
      </w:r>
      <w:r w:rsidRPr="00945437">
        <w:t>systému exte</w:t>
      </w:r>
      <w:r>
        <w:t xml:space="preserve">rního hodnocení kvality (EHK) v rámci </w:t>
      </w:r>
      <w:r w:rsidRPr="004F5F60">
        <w:t xml:space="preserve">mezinárodního (evropského) systému kontroly kvality </w:t>
      </w:r>
      <w:proofErr w:type="spellStart"/>
      <w:r w:rsidRPr="00F62EE3">
        <w:rPr>
          <w:szCs w:val="22"/>
        </w:rPr>
        <w:t>The</w:t>
      </w:r>
      <w:proofErr w:type="spellEnd"/>
      <w:r w:rsidRPr="00F62EE3">
        <w:rPr>
          <w:szCs w:val="22"/>
        </w:rPr>
        <w:t xml:space="preserve"> </w:t>
      </w:r>
      <w:proofErr w:type="spellStart"/>
      <w:r w:rsidRPr="00F62EE3">
        <w:rPr>
          <w:szCs w:val="22"/>
        </w:rPr>
        <w:t>European</w:t>
      </w:r>
      <w:proofErr w:type="spellEnd"/>
      <w:r w:rsidRPr="00F62EE3">
        <w:rPr>
          <w:szCs w:val="22"/>
        </w:rPr>
        <w:t xml:space="preserve"> </w:t>
      </w:r>
      <w:proofErr w:type="spellStart"/>
      <w:r w:rsidRPr="00F62EE3">
        <w:rPr>
          <w:szCs w:val="22"/>
        </w:rPr>
        <w:t>Molecular</w:t>
      </w:r>
      <w:proofErr w:type="spellEnd"/>
      <w:r w:rsidRPr="00F62EE3">
        <w:rPr>
          <w:szCs w:val="22"/>
        </w:rPr>
        <w:t xml:space="preserve"> </w:t>
      </w:r>
      <w:proofErr w:type="spellStart"/>
      <w:r w:rsidRPr="00F62EE3">
        <w:rPr>
          <w:szCs w:val="22"/>
        </w:rPr>
        <w:t>Genetics</w:t>
      </w:r>
      <w:proofErr w:type="spellEnd"/>
      <w:r w:rsidRPr="00F62EE3">
        <w:rPr>
          <w:szCs w:val="22"/>
        </w:rPr>
        <w:t xml:space="preserve"> </w:t>
      </w:r>
      <w:proofErr w:type="spellStart"/>
      <w:r w:rsidRPr="00F62EE3">
        <w:rPr>
          <w:szCs w:val="22"/>
        </w:rPr>
        <w:t>Quality</w:t>
      </w:r>
      <w:proofErr w:type="spellEnd"/>
      <w:r w:rsidRPr="00F62EE3">
        <w:rPr>
          <w:szCs w:val="22"/>
        </w:rPr>
        <w:t xml:space="preserve"> Network (</w:t>
      </w:r>
      <w:r>
        <w:rPr>
          <w:szCs w:val="22"/>
        </w:rPr>
        <w:t xml:space="preserve">EMQN - </w:t>
      </w:r>
      <w:r w:rsidRPr="003114B3">
        <w:rPr>
          <w:rStyle w:val="Hypertextovodkaz"/>
          <w:rFonts w:cs="Arial"/>
          <w:bCs/>
          <w:color w:val="auto"/>
          <w:kern w:val="28"/>
        </w:rPr>
        <w:t>http://</w:t>
      </w:r>
      <w:hyperlink r:id="rId12" w:history="1">
        <w:r w:rsidRPr="003114B3">
          <w:rPr>
            <w:rStyle w:val="Hypertextovodkaz"/>
            <w:rFonts w:cs="Arial"/>
            <w:bCs/>
            <w:color w:val="auto"/>
            <w:kern w:val="28"/>
          </w:rPr>
          <w:t>www.emqn.org</w:t>
        </w:r>
      </w:hyperlink>
      <w:r w:rsidRPr="003114B3">
        <w:t xml:space="preserve">). </w:t>
      </w:r>
      <w:r>
        <w:t>Laboratoř se také řídí</w:t>
      </w:r>
      <w:r w:rsidRPr="00945437">
        <w:t xml:space="preserve"> platnou legislativou a dostupnými doporučeními odborných společností. Zaměstnanci splňují svým vzděláním </w:t>
      </w:r>
      <w:r>
        <w:t xml:space="preserve">a zkušenostmi </w:t>
      </w:r>
      <w:r w:rsidRPr="00945437">
        <w:t>veškeré podmínky odborné způsobilosti.</w:t>
      </w:r>
      <w:r>
        <w:t xml:space="preserve"> </w:t>
      </w:r>
      <w:r w:rsidRPr="00DD4D9D">
        <w:t>Kromě diagnostické a výzkumné činnosti se pracovníci laboratoře zabývají výukou studentů 2. LF UK, účastní se</w:t>
      </w:r>
      <w:r>
        <w:t xml:space="preserve"> </w:t>
      </w:r>
      <w:proofErr w:type="spellStart"/>
      <w:r w:rsidRPr="00DD4D9D">
        <w:t>pregraduální</w:t>
      </w:r>
      <w:proofErr w:type="spellEnd"/>
      <w:r w:rsidRPr="00DD4D9D">
        <w:t xml:space="preserve"> a postgraduální výchovy lékařů. Pravidelně se aktivně zúčastňuj</w:t>
      </w:r>
      <w:r>
        <w:t xml:space="preserve">í odborných konferencí </w:t>
      </w:r>
      <w:r>
        <w:lastRenderedPageBreak/>
        <w:t>v České r</w:t>
      </w:r>
      <w:r w:rsidRPr="00DD4D9D">
        <w:t>epublice i zahraničí</w:t>
      </w:r>
      <w:r>
        <w:t xml:space="preserve"> a publikují své výsledky v mezinárodních i tuzemských recenzovaných časopisech</w:t>
      </w:r>
      <w:r w:rsidRPr="00DD4D9D">
        <w:t>.</w:t>
      </w:r>
    </w:p>
    <w:p w:rsidR="00686686" w:rsidRPr="002A4FEA" w:rsidRDefault="00686686" w:rsidP="002A4FEA">
      <w:pPr>
        <w:pStyle w:val="Nzev"/>
        <w:jc w:val="both"/>
        <w:rPr>
          <w:b w:val="0"/>
          <w:sz w:val="22"/>
          <w:szCs w:val="22"/>
        </w:rPr>
      </w:pPr>
    </w:p>
    <w:p w:rsidR="00686686" w:rsidRPr="006165AC" w:rsidRDefault="00686686" w:rsidP="004D2DF4">
      <w:pPr>
        <w:pStyle w:val="Nadpis1"/>
        <w:ind w:left="431" w:hanging="431"/>
      </w:pPr>
      <w:bookmarkStart w:id="21" w:name="_Toc503859132"/>
      <w:bookmarkStart w:id="22" w:name="_Toc45707693"/>
      <w:r w:rsidRPr="006165AC">
        <w:t>Informace o laboratoři</w:t>
      </w:r>
      <w:bookmarkEnd w:id="21"/>
      <w:bookmarkEnd w:id="22"/>
    </w:p>
    <w:p w:rsidR="00686686" w:rsidRDefault="00686686" w:rsidP="00A57E4D">
      <w:pPr>
        <w:pStyle w:val="Nadpis2"/>
      </w:pPr>
      <w:bookmarkStart w:id="23" w:name="_Toc503859133"/>
      <w:bookmarkStart w:id="24" w:name="_Toc45707694"/>
      <w:r w:rsidRPr="006165AC">
        <w:t>Identifikace laboratoře a důležité údaje</w:t>
      </w:r>
      <w:bookmarkEnd w:id="23"/>
      <w:bookmarkEnd w:id="24"/>
    </w:p>
    <w:p w:rsidR="00686686" w:rsidRDefault="00686686" w:rsidP="008707E1">
      <w:pPr>
        <w:ind w:left="576"/>
        <w:rPr>
          <w:szCs w:val="22"/>
        </w:rPr>
      </w:pPr>
      <w:r w:rsidRPr="006165AC">
        <w:rPr>
          <w:szCs w:val="22"/>
        </w:rPr>
        <w:t xml:space="preserve">Název laboratoře: </w:t>
      </w:r>
      <w:r w:rsidRPr="006165AC">
        <w:rPr>
          <w:szCs w:val="22"/>
        </w:rPr>
        <w:tab/>
      </w:r>
      <w:r>
        <w:rPr>
          <w:szCs w:val="22"/>
        </w:rPr>
        <w:t>Klinika dětské neurologie 2</w:t>
      </w:r>
      <w:r w:rsidRPr="009F3D01">
        <w:rPr>
          <w:szCs w:val="22"/>
        </w:rPr>
        <w:t>. LF UK a FN</w:t>
      </w:r>
    </w:p>
    <w:p w:rsidR="00686686" w:rsidRPr="006165AC" w:rsidRDefault="00686686" w:rsidP="009F3D01">
      <w:pPr>
        <w:ind w:left="2700" w:firstLine="132"/>
        <w:rPr>
          <w:szCs w:val="22"/>
        </w:rPr>
      </w:pPr>
      <w:r w:rsidRPr="009F3D01">
        <w:rPr>
          <w:szCs w:val="22"/>
        </w:rPr>
        <w:t>Motol</w:t>
      </w:r>
      <w:r>
        <w:rPr>
          <w:szCs w:val="22"/>
        </w:rPr>
        <w:t xml:space="preserve"> – </w:t>
      </w:r>
      <w:proofErr w:type="spellStart"/>
      <w:r>
        <w:rPr>
          <w:szCs w:val="22"/>
        </w:rPr>
        <w:t>Neurogenetická</w:t>
      </w:r>
      <w:proofErr w:type="spellEnd"/>
      <w:r>
        <w:rPr>
          <w:szCs w:val="22"/>
        </w:rPr>
        <w:t xml:space="preserve"> laboratoř</w:t>
      </w:r>
    </w:p>
    <w:p w:rsidR="00686686" w:rsidRPr="006165AC" w:rsidRDefault="00686686" w:rsidP="00E04897">
      <w:pPr>
        <w:ind w:left="2832" w:hanging="2256"/>
        <w:rPr>
          <w:szCs w:val="22"/>
        </w:rPr>
      </w:pPr>
      <w:r w:rsidRPr="006165AC">
        <w:rPr>
          <w:szCs w:val="22"/>
        </w:rPr>
        <w:t>Odbornost:</w:t>
      </w:r>
      <w:r w:rsidRPr="006165AC">
        <w:rPr>
          <w:szCs w:val="22"/>
        </w:rPr>
        <w:tab/>
      </w:r>
      <w:r>
        <w:rPr>
          <w:szCs w:val="22"/>
        </w:rPr>
        <w:t>odbornost 816</w:t>
      </w:r>
      <w:r w:rsidRPr="006165AC">
        <w:rPr>
          <w:szCs w:val="22"/>
        </w:rPr>
        <w:t xml:space="preserve"> </w:t>
      </w:r>
      <w:r>
        <w:rPr>
          <w:szCs w:val="22"/>
        </w:rPr>
        <w:t>–</w:t>
      </w:r>
      <w:r w:rsidRPr="006165AC">
        <w:rPr>
          <w:szCs w:val="22"/>
        </w:rPr>
        <w:t xml:space="preserve"> </w:t>
      </w:r>
      <w:r>
        <w:rPr>
          <w:szCs w:val="22"/>
        </w:rPr>
        <w:t xml:space="preserve">laboratoř lékařské genetiky </w:t>
      </w:r>
    </w:p>
    <w:p w:rsidR="00686686" w:rsidRPr="006165AC" w:rsidRDefault="00686686" w:rsidP="008707E1">
      <w:pPr>
        <w:ind w:left="576"/>
        <w:rPr>
          <w:szCs w:val="22"/>
        </w:rPr>
      </w:pPr>
      <w:r w:rsidRPr="006165AC">
        <w:rPr>
          <w:szCs w:val="22"/>
        </w:rPr>
        <w:t xml:space="preserve">Identifikační údaje: </w:t>
      </w:r>
      <w:r w:rsidRPr="006165AC">
        <w:rPr>
          <w:szCs w:val="22"/>
        </w:rPr>
        <w:tab/>
        <w:t xml:space="preserve">IČO: 00064203, DIČ: CZ00064203 </w:t>
      </w:r>
    </w:p>
    <w:p w:rsidR="00686686" w:rsidRPr="006165AC" w:rsidRDefault="00686686" w:rsidP="008707E1">
      <w:pPr>
        <w:ind w:left="576"/>
        <w:rPr>
          <w:szCs w:val="22"/>
        </w:rPr>
      </w:pPr>
      <w:r w:rsidRPr="006165AC">
        <w:rPr>
          <w:szCs w:val="22"/>
        </w:rPr>
        <w:t xml:space="preserve">Předmět činnosti: </w:t>
      </w:r>
      <w:r w:rsidRPr="006165AC">
        <w:rPr>
          <w:szCs w:val="22"/>
        </w:rPr>
        <w:tab/>
      </w:r>
      <w:r>
        <w:rPr>
          <w:szCs w:val="22"/>
        </w:rPr>
        <w:t xml:space="preserve">Provádění </w:t>
      </w:r>
      <w:r w:rsidRPr="006165AC">
        <w:rPr>
          <w:szCs w:val="22"/>
        </w:rPr>
        <w:t xml:space="preserve">vyšetření </w:t>
      </w:r>
      <w:r>
        <w:rPr>
          <w:szCs w:val="22"/>
        </w:rPr>
        <w:t>biologického materiálu v oblasti genetiky</w:t>
      </w:r>
      <w:r w:rsidRPr="006165AC">
        <w:rPr>
          <w:szCs w:val="22"/>
        </w:rPr>
        <w:t xml:space="preserve"> </w:t>
      </w:r>
    </w:p>
    <w:p w:rsidR="00686686" w:rsidRPr="006165AC" w:rsidRDefault="00686686" w:rsidP="008707E1">
      <w:pPr>
        <w:ind w:left="576"/>
        <w:rPr>
          <w:szCs w:val="22"/>
        </w:rPr>
      </w:pPr>
      <w:r w:rsidRPr="006165AC">
        <w:rPr>
          <w:szCs w:val="22"/>
        </w:rPr>
        <w:t xml:space="preserve">Adresa: </w:t>
      </w:r>
      <w:r w:rsidRPr="006165AC">
        <w:rPr>
          <w:szCs w:val="22"/>
        </w:rPr>
        <w:tab/>
      </w:r>
      <w:r w:rsidRPr="006165AC">
        <w:rPr>
          <w:szCs w:val="22"/>
        </w:rPr>
        <w:tab/>
      </w:r>
      <w:r w:rsidRPr="006165AC">
        <w:rPr>
          <w:szCs w:val="22"/>
        </w:rPr>
        <w:tab/>
        <w:t>Fakultní nemocnice v Motole, V Úvalu 84, 150 06, Praha 5</w:t>
      </w:r>
    </w:p>
    <w:p w:rsidR="00686686" w:rsidRPr="006165AC" w:rsidRDefault="00686686" w:rsidP="008707E1">
      <w:pPr>
        <w:ind w:left="576"/>
        <w:rPr>
          <w:szCs w:val="22"/>
        </w:rPr>
      </w:pPr>
      <w:r w:rsidRPr="006165AC">
        <w:rPr>
          <w:szCs w:val="22"/>
        </w:rPr>
        <w:t>Umístění:</w:t>
      </w:r>
      <w:r w:rsidRPr="006165AC">
        <w:rPr>
          <w:szCs w:val="22"/>
        </w:rPr>
        <w:tab/>
      </w:r>
      <w:r w:rsidRPr="006165AC">
        <w:rPr>
          <w:szCs w:val="22"/>
        </w:rPr>
        <w:tab/>
      </w:r>
      <w:r>
        <w:rPr>
          <w:szCs w:val="22"/>
        </w:rPr>
        <w:t>B</w:t>
      </w:r>
      <w:r w:rsidRPr="006165AC">
        <w:rPr>
          <w:szCs w:val="22"/>
        </w:rPr>
        <w:t xml:space="preserve">udova </w:t>
      </w:r>
      <w:r>
        <w:rPr>
          <w:szCs w:val="22"/>
        </w:rPr>
        <w:t>č. 23 (Nová onkologie)</w:t>
      </w:r>
      <w:r w:rsidRPr="006165AC">
        <w:rPr>
          <w:szCs w:val="22"/>
        </w:rPr>
        <w:t xml:space="preserve">, </w:t>
      </w:r>
      <w:r>
        <w:rPr>
          <w:szCs w:val="22"/>
        </w:rPr>
        <w:t>1</w:t>
      </w:r>
      <w:r w:rsidRPr="006165AC">
        <w:rPr>
          <w:szCs w:val="22"/>
        </w:rPr>
        <w:t>. patro</w:t>
      </w:r>
      <w:r>
        <w:rPr>
          <w:szCs w:val="22"/>
        </w:rPr>
        <w:t>, dveře č. 367</w:t>
      </w:r>
    </w:p>
    <w:p w:rsidR="00686686" w:rsidRPr="006165AC" w:rsidRDefault="00686686" w:rsidP="008707E1">
      <w:pPr>
        <w:ind w:left="576"/>
        <w:rPr>
          <w:szCs w:val="22"/>
        </w:rPr>
      </w:pPr>
      <w:r>
        <w:rPr>
          <w:szCs w:val="22"/>
        </w:rPr>
        <w:t>Telefon</w:t>
      </w:r>
      <w:r w:rsidRPr="006165AC">
        <w:rPr>
          <w:szCs w:val="22"/>
        </w:rPr>
        <w:t xml:space="preserve">: </w:t>
      </w:r>
      <w:r w:rsidRPr="006165AC">
        <w:rPr>
          <w:szCs w:val="22"/>
        </w:rPr>
        <w:tab/>
      </w:r>
      <w:r>
        <w:rPr>
          <w:szCs w:val="22"/>
        </w:rPr>
        <w:tab/>
      </w:r>
      <w:r w:rsidRPr="006165AC">
        <w:rPr>
          <w:szCs w:val="22"/>
        </w:rPr>
        <w:tab/>
        <w:t xml:space="preserve">+420 22443 </w:t>
      </w:r>
      <w:r>
        <w:rPr>
          <w:szCs w:val="22"/>
        </w:rPr>
        <w:t>6788</w:t>
      </w:r>
      <w:r w:rsidRPr="006165AC">
        <w:rPr>
          <w:szCs w:val="22"/>
        </w:rPr>
        <w:t xml:space="preserve"> (vedoucí laboratoře) </w:t>
      </w:r>
    </w:p>
    <w:p w:rsidR="00546541" w:rsidRDefault="00686686" w:rsidP="00ED7A57">
      <w:pPr>
        <w:ind w:left="576"/>
      </w:pPr>
      <w:r w:rsidRPr="006165AC">
        <w:rPr>
          <w:szCs w:val="22"/>
        </w:rPr>
        <w:t>Webové stránky:</w:t>
      </w:r>
      <w:r w:rsidRPr="006165AC">
        <w:rPr>
          <w:szCs w:val="22"/>
        </w:rPr>
        <w:tab/>
      </w:r>
      <w:r w:rsidRPr="006165AC">
        <w:rPr>
          <w:szCs w:val="22"/>
        </w:rPr>
        <w:tab/>
      </w:r>
      <w:hyperlink r:id="rId13" w:history="1">
        <w:r w:rsidR="00ED7A57" w:rsidRPr="00ED7A57">
          <w:rPr>
            <w:rStyle w:val="Hypertextovodkaz"/>
            <w:szCs w:val="22"/>
          </w:rPr>
          <w:t>https://www.fnmotol.cz/neurogeneticka-laborator/</w:t>
        </w:r>
      </w:hyperlink>
      <w:r w:rsidR="00546541">
        <w:t xml:space="preserve"> </w:t>
      </w:r>
    </w:p>
    <w:p w:rsidR="000A4BBC" w:rsidRDefault="00686686" w:rsidP="008707E1">
      <w:pPr>
        <w:ind w:left="576"/>
        <w:rPr>
          <w:szCs w:val="22"/>
        </w:rPr>
      </w:pPr>
      <w:r w:rsidRPr="00C801CE">
        <w:rPr>
          <w:szCs w:val="22"/>
        </w:rPr>
        <w:t xml:space="preserve">E-mail: </w:t>
      </w:r>
      <w:r w:rsidRPr="00C801CE">
        <w:rPr>
          <w:szCs w:val="22"/>
        </w:rPr>
        <w:tab/>
      </w:r>
      <w:r w:rsidRPr="00C801CE">
        <w:rPr>
          <w:szCs w:val="22"/>
        </w:rPr>
        <w:tab/>
      </w:r>
      <w:r w:rsidRPr="00C801CE">
        <w:rPr>
          <w:szCs w:val="22"/>
        </w:rPr>
        <w:tab/>
      </w:r>
      <w:hyperlink r:id="rId14" w:history="1">
        <w:r w:rsidR="000A4BBC" w:rsidRPr="000A4BBC">
          <w:rPr>
            <w:rStyle w:val="Hypertextovodkaz"/>
            <w:szCs w:val="22"/>
          </w:rPr>
          <w:t>petra.lassuthova@fnmotol.cz</w:t>
        </w:r>
      </w:hyperlink>
    </w:p>
    <w:p w:rsidR="00686686" w:rsidRPr="0077319F" w:rsidRDefault="00DF18E6" w:rsidP="000A4BBC">
      <w:pPr>
        <w:ind w:left="2700" w:firstLine="132"/>
        <w:rPr>
          <w:szCs w:val="22"/>
        </w:rPr>
      </w:pPr>
      <w:hyperlink r:id="rId15" w:history="1">
        <w:r w:rsidR="00546541" w:rsidRPr="003C74EE">
          <w:rPr>
            <w:rStyle w:val="Hypertextovodkaz"/>
            <w:szCs w:val="22"/>
          </w:rPr>
          <w:t>anna.</w:t>
        </w:r>
        <w:r w:rsidR="00546541" w:rsidRPr="003C74EE">
          <w:rPr>
            <w:rStyle w:val="Hypertextovodkaz"/>
          </w:rPr>
          <w:t>meszarosova@lfmotol.cuni.cz</w:t>
        </w:r>
      </w:hyperlink>
      <w:r w:rsidR="00686686" w:rsidRPr="0077319F">
        <w:rPr>
          <w:szCs w:val="22"/>
        </w:rPr>
        <w:t xml:space="preserve"> </w:t>
      </w:r>
    </w:p>
    <w:p w:rsidR="00686686" w:rsidRPr="006165AC" w:rsidRDefault="00686686" w:rsidP="008707E1">
      <w:pPr>
        <w:ind w:firstLine="396"/>
        <w:rPr>
          <w:rStyle w:val="Hypertextovodkaz"/>
        </w:rPr>
      </w:pPr>
      <w:r w:rsidRPr="006165AC">
        <w:tab/>
      </w:r>
    </w:p>
    <w:p w:rsidR="000A4BBC" w:rsidRPr="00847044" w:rsidRDefault="00686686" w:rsidP="000A4BBC">
      <w:pPr>
        <w:ind w:firstLine="576"/>
      </w:pPr>
      <w:r w:rsidRPr="006165AC">
        <w:t>Vedoucí laboratoře:</w:t>
      </w:r>
      <w:r w:rsidRPr="006165AC">
        <w:tab/>
      </w:r>
      <w:r>
        <w:tab/>
      </w:r>
      <w:r>
        <w:tab/>
      </w:r>
      <w:r>
        <w:tab/>
      </w:r>
      <w:r w:rsidR="00AD5F4D">
        <w:t xml:space="preserve">doc. </w:t>
      </w:r>
      <w:r w:rsidR="000A4BBC" w:rsidRPr="00847044">
        <w:t xml:space="preserve">MUDr. Petra </w:t>
      </w:r>
      <w:proofErr w:type="spellStart"/>
      <w:r w:rsidR="000A4BBC" w:rsidRPr="00847044">
        <w:t>Laššuthová</w:t>
      </w:r>
      <w:proofErr w:type="spellEnd"/>
      <w:r w:rsidR="000A4BBC" w:rsidRPr="00847044">
        <w:t xml:space="preserve">, </w:t>
      </w:r>
      <w:proofErr w:type="spellStart"/>
      <w:r w:rsidR="000A4BBC" w:rsidRPr="00847044">
        <w:t>Ph.D</w:t>
      </w:r>
      <w:proofErr w:type="spellEnd"/>
      <w:r w:rsidR="000A4BBC" w:rsidRPr="00847044">
        <w:t>.</w:t>
      </w:r>
    </w:p>
    <w:p w:rsidR="00686686" w:rsidRPr="00847044" w:rsidRDefault="00686686" w:rsidP="000A4BBC">
      <w:pPr>
        <w:ind w:left="576"/>
      </w:pPr>
      <w:r w:rsidRPr="00847044">
        <w:t>Zástupce vedoucího laboratoře:</w:t>
      </w:r>
      <w:r w:rsidRPr="00847044">
        <w:tab/>
      </w:r>
      <w:r w:rsidRPr="00847044">
        <w:tab/>
      </w:r>
      <w:r w:rsidRPr="00847044">
        <w:tab/>
      </w:r>
      <w:r w:rsidR="000A4BBC" w:rsidRPr="00847044">
        <w:t xml:space="preserve">RNDr. Anna Uhrová </w:t>
      </w:r>
      <w:proofErr w:type="spellStart"/>
      <w:r w:rsidR="000A4BBC" w:rsidRPr="00847044">
        <w:t>Mészárosová</w:t>
      </w:r>
      <w:proofErr w:type="spellEnd"/>
      <w:r w:rsidR="000A4BBC" w:rsidRPr="00847044">
        <w:t xml:space="preserve">, </w:t>
      </w:r>
      <w:proofErr w:type="spellStart"/>
      <w:r w:rsidR="000A4BBC" w:rsidRPr="00847044">
        <w:t>Ph.D</w:t>
      </w:r>
      <w:proofErr w:type="spellEnd"/>
      <w:r w:rsidR="000A4BBC" w:rsidRPr="00847044">
        <w:t>.</w:t>
      </w:r>
    </w:p>
    <w:p w:rsidR="00686686" w:rsidRPr="00847044" w:rsidRDefault="00686686" w:rsidP="008707E1">
      <w:pPr>
        <w:ind w:left="576"/>
      </w:pPr>
    </w:p>
    <w:p w:rsidR="00686686" w:rsidRPr="00847044" w:rsidRDefault="00686686" w:rsidP="008707E1">
      <w:pPr>
        <w:ind w:left="576"/>
      </w:pPr>
      <w:r w:rsidRPr="00847044">
        <w:t>Odborný garant za analytickou interpretaci:</w:t>
      </w:r>
      <w:r w:rsidRPr="00847044">
        <w:tab/>
        <w:t xml:space="preserve">RNDr. Anna Uhrová </w:t>
      </w:r>
      <w:proofErr w:type="spellStart"/>
      <w:r w:rsidRPr="00847044">
        <w:t>Mészárosová</w:t>
      </w:r>
      <w:proofErr w:type="spellEnd"/>
      <w:r w:rsidRPr="00847044">
        <w:t xml:space="preserve">, </w:t>
      </w:r>
      <w:proofErr w:type="spellStart"/>
      <w:r w:rsidRPr="00847044">
        <w:t>Ph.D</w:t>
      </w:r>
      <w:proofErr w:type="spellEnd"/>
      <w:r w:rsidRPr="00847044">
        <w:t>.</w:t>
      </w:r>
      <w:r w:rsidR="000A4BBC" w:rsidRPr="00847044">
        <w:t xml:space="preserve">, </w:t>
      </w:r>
    </w:p>
    <w:p w:rsidR="000A4BBC" w:rsidRPr="00847044" w:rsidRDefault="000A4BBC" w:rsidP="000A4BBC">
      <w:pPr>
        <w:ind w:left="4824" w:firstLine="132"/>
      </w:pPr>
      <w:r w:rsidRPr="00847044">
        <w:t xml:space="preserve">Ing. Lucie Sedláčková, </w:t>
      </w:r>
      <w:proofErr w:type="spellStart"/>
      <w:r w:rsidRPr="00847044">
        <w:t>Ph.D</w:t>
      </w:r>
      <w:proofErr w:type="spellEnd"/>
      <w:r w:rsidRPr="00847044">
        <w:t>.</w:t>
      </w:r>
    </w:p>
    <w:p w:rsidR="000A4BBC" w:rsidRPr="00847044" w:rsidRDefault="000A4BBC" w:rsidP="00AB04CE">
      <w:pPr>
        <w:ind w:left="576"/>
      </w:pPr>
    </w:p>
    <w:p w:rsidR="00686686" w:rsidRPr="00847044" w:rsidRDefault="00686686" w:rsidP="00AB04CE">
      <w:pPr>
        <w:ind w:left="576"/>
      </w:pPr>
      <w:r w:rsidRPr="00847044">
        <w:t>Odborný garant za klinickou interpretaci:</w:t>
      </w:r>
      <w:r w:rsidRPr="00847044">
        <w:tab/>
      </w:r>
      <w:r w:rsidRPr="00847044">
        <w:tab/>
      </w:r>
      <w:r w:rsidR="00AD5F4D">
        <w:t xml:space="preserve">doc. </w:t>
      </w:r>
      <w:r w:rsidR="000A4BBC" w:rsidRPr="00847044">
        <w:t xml:space="preserve">MUDr. Petra </w:t>
      </w:r>
      <w:proofErr w:type="spellStart"/>
      <w:r w:rsidR="000A4BBC" w:rsidRPr="00847044">
        <w:t>Laššuthová</w:t>
      </w:r>
      <w:proofErr w:type="spellEnd"/>
      <w:r w:rsidR="000A4BBC" w:rsidRPr="00847044">
        <w:t xml:space="preserve">, </w:t>
      </w:r>
      <w:proofErr w:type="spellStart"/>
      <w:r w:rsidR="000A4BBC" w:rsidRPr="00847044">
        <w:t>Ph.D</w:t>
      </w:r>
      <w:proofErr w:type="spellEnd"/>
      <w:r w:rsidR="000A4BBC" w:rsidRPr="00847044">
        <w:t>.</w:t>
      </w:r>
    </w:p>
    <w:p w:rsidR="000A4BBC" w:rsidRDefault="000A4BBC" w:rsidP="000A4BBC">
      <w:pPr>
        <w:ind w:firstLine="576"/>
      </w:pPr>
      <w:r w:rsidRPr="00847044">
        <w:tab/>
      </w:r>
      <w:r w:rsidRPr="00847044">
        <w:tab/>
      </w:r>
      <w:r w:rsidRPr="00847044">
        <w:tab/>
      </w:r>
      <w:r w:rsidRPr="00847044">
        <w:tab/>
      </w:r>
      <w:r w:rsidRPr="00847044">
        <w:tab/>
      </w:r>
      <w:r w:rsidRPr="00847044">
        <w:tab/>
      </w:r>
      <w:r w:rsidRPr="00847044">
        <w:tab/>
        <w:t xml:space="preserve">MUDr. Dana </w:t>
      </w:r>
      <w:proofErr w:type="spellStart"/>
      <w:r w:rsidRPr="00847044">
        <w:t>Šafka</w:t>
      </w:r>
      <w:proofErr w:type="spellEnd"/>
      <w:r w:rsidRPr="00847044">
        <w:t xml:space="preserve"> Brožková, </w:t>
      </w:r>
      <w:proofErr w:type="spellStart"/>
      <w:r w:rsidRPr="00847044">
        <w:t>Ph.D</w:t>
      </w:r>
      <w:proofErr w:type="spellEnd"/>
      <w:r w:rsidRPr="00847044">
        <w:t>.</w:t>
      </w:r>
    </w:p>
    <w:p w:rsidR="00AE7F8B" w:rsidRDefault="00AE7F8B" w:rsidP="000A4BBC">
      <w:pPr>
        <w:ind w:firstLine="576"/>
      </w:pPr>
    </w:p>
    <w:p w:rsidR="00AE7F8B" w:rsidRPr="00AE7F8B" w:rsidRDefault="00AE7F8B" w:rsidP="000A4BBC">
      <w:pPr>
        <w:ind w:firstLine="576"/>
        <w:rPr>
          <w:color w:val="0000FF"/>
        </w:rPr>
      </w:pPr>
      <w:r w:rsidRPr="00AE7F8B">
        <w:rPr>
          <w:color w:val="0000FF"/>
        </w:rPr>
        <w:t>Odborný garant za flexibilní rozsah akreditace:</w:t>
      </w:r>
      <w:r w:rsidRPr="00AE7F8B">
        <w:rPr>
          <w:color w:val="0000FF"/>
        </w:rPr>
        <w:tab/>
      </w:r>
      <w:r w:rsidR="00AD5F4D">
        <w:rPr>
          <w:color w:val="0000FF"/>
        </w:rPr>
        <w:t xml:space="preserve">doc. </w:t>
      </w:r>
      <w:r w:rsidRPr="00AE7F8B">
        <w:rPr>
          <w:color w:val="0000FF"/>
        </w:rPr>
        <w:t xml:space="preserve">MUDr. Petra </w:t>
      </w:r>
      <w:proofErr w:type="spellStart"/>
      <w:r w:rsidRPr="00AE7F8B">
        <w:rPr>
          <w:color w:val="0000FF"/>
        </w:rPr>
        <w:t>Laššuthová</w:t>
      </w:r>
      <w:proofErr w:type="spellEnd"/>
      <w:r w:rsidRPr="00AE7F8B">
        <w:rPr>
          <w:color w:val="0000FF"/>
        </w:rPr>
        <w:t xml:space="preserve">, </w:t>
      </w:r>
      <w:proofErr w:type="spellStart"/>
      <w:r w:rsidRPr="00AE7F8B">
        <w:rPr>
          <w:color w:val="0000FF"/>
        </w:rPr>
        <w:t>Ph.D</w:t>
      </w:r>
      <w:proofErr w:type="spellEnd"/>
      <w:r w:rsidRPr="00AE7F8B">
        <w:rPr>
          <w:color w:val="0000FF"/>
        </w:rPr>
        <w:t>.</w:t>
      </w:r>
    </w:p>
    <w:p w:rsidR="00AE7F8B" w:rsidRPr="00847044" w:rsidRDefault="00AD5F4D" w:rsidP="000A4BBC">
      <w:pPr>
        <w:ind w:firstLine="576"/>
      </w:pPr>
      <w:r w:rsidRPr="00AD5F4D">
        <w:rPr>
          <w:color w:val="0000FF"/>
        </w:rPr>
        <w:t>Zástupce garanta za flexibilní rozsah akreditace:</w:t>
      </w:r>
      <w:r w:rsidR="00AE7F8B" w:rsidRPr="00AD5F4D">
        <w:rPr>
          <w:color w:val="0000FF"/>
        </w:rPr>
        <w:tab/>
      </w:r>
      <w:r w:rsidRPr="00AD5F4D">
        <w:rPr>
          <w:color w:val="0000FF"/>
        </w:rPr>
        <w:t xml:space="preserve">MUDr. Dana </w:t>
      </w:r>
      <w:proofErr w:type="spellStart"/>
      <w:r w:rsidRPr="00AD5F4D">
        <w:rPr>
          <w:color w:val="0000FF"/>
        </w:rPr>
        <w:t>Šafka</w:t>
      </w:r>
      <w:proofErr w:type="spellEnd"/>
      <w:r w:rsidRPr="00AD5F4D">
        <w:rPr>
          <w:color w:val="0000FF"/>
        </w:rPr>
        <w:t xml:space="preserve"> Brožková, </w:t>
      </w:r>
      <w:proofErr w:type="spellStart"/>
      <w:r w:rsidRPr="00AD5F4D">
        <w:rPr>
          <w:color w:val="0000FF"/>
        </w:rPr>
        <w:t>Ph.D</w:t>
      </w:r>
      <w:proofErr w:type="spellEnd"/>
      <w:r w:rsidRPr="00AD5F4D">
        <w:rPr>
          <w:color w:val="0000FF"/>
        </w:rPr>
        <w:t>.</w:t>
      </w:r>
      <w:r w:rsidR="00AE7F8B">
        <w:tab/>
      </w:r>
    </w:p>
    <w:p w:rsidR="000A4BBC" w:rsidRPr="00847044" w:rsidRDefault="000A4BBC" w:rsidP="00AB04CE">
      <w:pPr>
        <w:ind w:left="576"/>
      </w:pPr>
    </w:p>
    <w:p w:rsidR="00686686" w:rsidRDefault="00686686" w:rsidP="00AB04CE">
      <w:pPr>
        <w:ind w:firstLine="576"/>
      </w:pPr>
      <w:r>
        <w:t>Manažer kvality</w:t>
      </w:r>
      <w:r w:rsidRPr="006165AC">
        <w:t>:</w:t>
      </w:r>
      <w:r w:rsidRPr="006165AC">
        <w:tab/>
      </w:r>
      <w:r>
        <w:tab/>
      </w:r>
      <w:r>
        <w:tab/>
      </w:r>
      <w:r>
        <w:tab/>
      </w:r>
      <w:r>
        <w:tab/>
        <w:t xml:space="preserve">MUDr. Dana </w:t>
      </w:r>
      <w:proofErr w:type="spellStart"/>
      <w:r>
        <w:t>Šafka</w:t>
      </w:r>
      <w:proofErr w:type="spellEnd"/>
      <w:r>
        <w:t xml:space="preserve"> Brožková, </w:t>
      </w:r>
      <w:proofErr w:type="spellStart"/>
      <w:r>
        <w:t>Ph.D</w:t>
      </w:r>
      <w:proofErr w:type="spellEnd"/>
      <w:r>
        <w:t>.</w:t>
      </w:r>
    </w:p>
    <w:p w:rsidR="00686686" w:rsidRDefault="00686686" w:rsidP="00AB04CE">
      <w:pPr>
        <w:ind w:firstLine="576"/>
      </w:pPr>
      <w:r>
        <w:t xml:space="preserve">Zástupce manažera kvality: </w:t>
      </w:r>
      <w:r>
        <w:tab/>
      </w:r>
      <w:r>
        <w:tab/>
      </w:r>
      <w:r>
        <w:tab/>
      </w:r>
      <w:r w:rsidR="00AD5F4D">
        <w:t xml:space="preserve">doc. </w:t>
      </w:r>
      <w:r>
        <w:t xml:space="preserve">MUDr. Petra </w:t>
      </w:r>
      <w:proofErr w:type="spellStart"/>
      <w:r>
        <w:t>Laššuthová</w:t>
      </w:r>
      <w:proofErr w:type="spellEnd"/>
      <w:r>
        <w:t xml:space="preserve">, </w:t>
      </w:r>
      <w:proofErr w:type="spellStart"/>
      <w:r>
        <w:t>Ph.D</w:t>
      </w:r>
      <w:proofErr w:type="spellEnd"/>
      <w:r>
        <w:t>.</w:t>
      </w:r>
    </w:p>
    <w:p w:rsidR="00686686" w:rsidRDefault="00686686" w:rsidP="006F12B7">
      <w:pPr>
        <w:ind w:firstLine="576"/>
      </w:pPr>
      <w:r w:rsidRPr="006165AC">
        <w:tab/>
      </w:r>
    </w:p>
    <w:p w:rsidR="00686686" w:rsidRPr="006165AC" w:rsidRDefault="00686686" w:rsidP="006518D3">
      <w:pPr>
        <w:pStyle w:val="Nadpis2"/>
      </w:pPr>
      <w:bookmarkStart w:id="25" w:name="_Toc503859134"/>
      <w:bookmarkStart w:id="26" w:name="_Toc45707695"/>
      <w:r w:rsidRPr="006165AC">
        <w:lastRenderedPageBreak/>
        <w:t>Zaměření pracoviště</w:t>
      </w:r>
      <w:bookmarkEnd w:id="25"/>
      <w:bookmarkEnd w:id="26"/>
    </w:p>
    <w:p w:rsidR="00686686" w:rsidRPr="007A06FE" w:rsidRDefault="00686686" w:rsidP="007A06FE">
      <w:pPr>
        <w:pStyle w:val="Normlnweb"/>
        <w:spacing w:before="0" w:beforeAutospacing="0" w:after="0" w:afterAutospacing="0" w:line="360" w:lineRule="auto"/>
        <w:ind w:left="578"/>
        <w:jc w:val="both"/>
        <w:rPr>
          <w:sz w:val="22"/>
          <w:szCs w:val="22"/>
        </w:rPr>
      </w:pPr>
      <w:r w:rsidRPr="007A06FE">
        <w:rPr>
          <w:sz w:val="22"/>
          <w:szCs w:val="22"/>
        </w:rPr>
        <w:t>Laboratoř se zaměřuje nej</w:t>
      </w:r>
      <w:r>
        <w:rPr>
          <w:sz w:val="22"/>
          <w:szCs w:val="22"/>
        </w:rPr>
        <w:t>en na diagnostiku, ale také na výzkum</w:t>
      </w:r>
      <w:r w:rsidRPr="007A06FE">
        <w:rPr>
          <w:sz w:val="22"/>
          <w:szCs w:val="22"/>
        </w:rPr>
        <w:t xml:space="preserve"> </w:t>
      </w:r>
      <w:r>
        <w:rPr>
          <w:sz w:val="22"/>
          <w:szCs w:val="22"/>
        </w:rPr>
        <w:t xml:space="preserve">příčin </w:t>
      </w:r>
      <w:r w:rsidRPr="007A06FE">
        <w:rPr>
          <w:sz w:val="22"/>
          <w:szCs w:val="22"/>
        </w:rPr>
        <w:t>dědičných</w:t>
      </w:r>
      <w:r>
        <w:rPr>
          <w:sz w:val="22"/>
          <w:szCs w:val="22"/>
        </w:rPr>
        <w:t xml:space="preserve"> neurologických</w:t>
      </w:r>
      <w:r w:rsidRPr="007A06FE">
        <w:rPr>
          <w:sz w:val="22"/>
          <w:szCs w:val="22"/>
        </w:rPr>
        <w:t xml:space="preserve"> onemocnění</w:t>
      </w:r>
      <w:r>
        <w:rPr>
          <w:sz w:val="22"/>
          <w:szCs w:val="22"/>
        </w:rPr>
        <w:t xml:space="preserve"> a také dědičných poruch sluchu</w:t>
      </w:r>
      <w:r w:rsidRPr="007A06FE">
        <w:rPr>
          <w:sz w:val="22"/>
          <w:szCs w:val="22"/>
        </w:rPr>
        <w:t xml:space="preserve">. </w:t>
      </w:r>
      <w:r>
        <w:rPr>
          <w:sz w:val="22"/>
          <w:szCs w:val="22"/>
        </w:rPr>
        <w:t xml:space="preserve">Mezi vyšetřovanými nemocemi dominují </w:t>
      </w:r>
      <w:r w:rsidRPr="007A06FE">
        <w:rPr>
          <w:sz w:val="22"/>
          <w:szCs w:val="22"/>
        </w:rPr>
        <w:t xml:space="preserve">dědičné neuropatie </w:t>
      </w:r>
      <w:proofErr w:type="spellStart"/>
      <w:r w:rsidRPr="007A06FE">
        <w:rPr>
          <w:sz w:val="22"/>
          <w:szCs w:val="22"/>
        </w:rPr>
        <w:t>Charcot</w:t>
      </w:r>
      <w:proofErr w:type="spellEnd"/>
      <w:r w:rsidRPr="007A06FE">
        <w:rPr>
          <w:sz w:val="22"/>
          <w:szCs w:val="22"/>
        </w:rPr>
        <w:t>-</w:t>
      </w:r>
      <w:proofErr w:type="spellStart"/>
      <w:r w:rsidRPr="007A06FE">
        <w:rPr>
          <w:sz w:val="22"/>
          <w:szCs w:val="22"/>
        </w:rPr>
        <w:t>Marie</w:t>
      </w:r>
      <w:proofErr w:type="spellEnd"/>
      <w:r w:rsidRPr="007A06FE">
        <w:rPr>
          <w:sz w:val="22"/>
          <w:szCs w:val="22"/>
        </w:rPr>
        <w:t>-</w:t>
      </w:r>
      <w:proofErr w:type="spellStart"/>
      <w:r w:rsidRPr="007A06FE">
        <w:rPr>
          <w:sz w:val="22"/>
          <w:szCs w:val="22"/>
        </w:rPr>
        <w:t>Tooth</w:t>
      </w:r>
      <w:proofErr w:type="spellEnd"/>
      <w:r w:rsidRPr="007A06FE">
        <w:rPr>
          <w:sz w:val="22"/>
          <w:szCs w:val="22"/>
        </w:rPr>
        <w:t xml:space="preserve"> (CMT). Dědičné neuropatie jsou nejčastější dědičná nervosvalová onemocnění. Projevují se zhoršující se svalovou slabostí a atrofiemi svalů</w:t>
      </w:r>
      <w:r>
        <w:rPr>
          <w:sz w:val="22"/>
          <w:szCs w:val="22"/>
        </w:rPr>
        <w:t>,</w:t>
      </w:r>
      <w:r w:rsidRPr="007A06FE">
        <w:rPr>
          <w:sz w:val="22"/>
          <w:szCs w:val="22"/>
        </w:rPr>
        <w:t xml:space="preserve"> dříve na dolních a později většinou i na horních končetinách. Tvoří velice heterogenní skupinu onemocnění</w:t>
      </w:r>
      <w:r>
        <w:rPr>
          <w:sz w:val="22"/>
          <w:szCs w:val="22"/>
        </w:rPr>
        <w:t xml:space="preserve"> se všemi typy dědičnosti</w:t>
      </w:r>
      <w:r w:rsidRPr="007A06FE">
        <w:rPr>
          <w:sz w:val="22"/>
          <w:szCs w:val="22"/>
        </w:rPr>
        <w:t>, kde se příznaky onemocnění mohou lišit mezi jednotlivými rodinami se stejným typem neuropatie, ale rozdíly mohou být i mezi postiženými členy jedné rodiny.</w:t>
      </w:r>
    </w:p>
    <w:p w:rsidR="00686686" w:rsidRDefault="00686686" w:rsidP="00E50A84">
      <w:pPr>
        <w:pStyle w:val="Normlnweb"/>
        <w:spacing w:before="0" w:beforeAutospacing="0" w:after="0" w:afterAutospacing="0" w:line="360" w:lineRule="auto"/>
        <w:ind w:left="578"/>
        <w:jc w:val="both"/>
        <w:rPr>
          <w:sz w:val="22"/>
        </w:rPr>
      </w:pPr>
      <w:r>
        <w:rPr>
          <w:sz w:val="22"/>
        </w:rPr>
        <w:t>Mezi další nemoci, které se v laboratoři vyšetřují, patří e</w:t>
      </w:r>
      <w:r w:rsidRPr="00E50A84">
        <w:rPr>
          <w:sz w:val="22"/>
        </w:rPr>
        <w:t xml:space="preserve">pileptické encefalopatie (EE) neboli též závažné </w:t>
      </w:r>
      <w:r>
        <w:rPr>
          <w:sz w:val="22"/>
        </w:rPr>
        <w:t xml:space="preserve">časné </w:t>
      </w:r>
      <w:r w:rsidRPr="00E50A84">
        <w:rPr>
          <w:sz w:val="22"/>
        </w:rPr>
        <w:t xml:space="preserve">dětské epilepsie jsou extrémně heterogenní skupinou onemocnění, s časným nástupem epileptických záchvatů, obvykle </w:t>
      </w:r>
      <w:proofErr w:type="spellStart"/>
      <w:r w:rsidRPr="00E50A84">
        <w:rPr>
          <w:sz w:val="22"/>
        </w:rPr>
        <w:t>farmakorezistentních</w:t>
      </w:r>
      <w:proofErr w:type="spellEnd"/>
      <w:r w:rsidRPr="00E50A84">
        <w:rPr>
          <w:sz w:val="22"/>
        </w:rPr>
        <w:t>, provázených vývojovou stagnací či regresem</w:t>
      </w:r>
      <w:r>
        <w:rPr>
          <w:sz w:val="22"/>
        </w:rPr>
        <w:t xml:space="preserve">. </w:t>
      </w:r>
    </w:p>
    <w:p w:rsidR="00686686" w:rsidRDefault="00686686" w:rsidP="00E50A84">
      <w:pPr>
        <w:pStyle w:val="Normlnweb"/>
        <w:spacing w:before="0" w:beforeAutospacing="0" w:after="0" w:afterAutospacing="0" w:line="360" w:lineRule="auto"/>
        <w:ind w:left="578"/>
        <w:jc w:val="both"/>
        <w:rPr>
          <w:sz w:val="22"/>
        </w:rPr>
      </w:pPr>
      <w:r w:rsidRPr="00FC55C4">
        <w:rPr>
          <w:sz w:val="22"/>
          <w:szCs w:val="22"/>
        </w:rPr>
        <w:t xml:space="preserve">Provádějí se zde i vyšetření </w:t>
      </w:r>
      <w:r w:rsidR="00F65BF1">
        <w:rPr>
          <w:sz w:val="22"/>
          <w:szCs w:val="22"/>
        </w:rPr>
        <w:t xml:space="preserve">genetických příčin </w:t>
      </w:r>
      <w:r w:rsidRPr="00FC55C4">
        <w:rPr>
          <w:sz w:val="22"/>
          <w:szCs w:val="22"/>
        </w:rPr>
        <w:t xml:space="preserve">hereditární spastické paraparézy, dědičné poruchy sluchu (NSHL), </w:t>
      </w:r>
      <w:proofErr w:type="spellStart"/>
      <w:r w:rsidRPr="00FC55C4">
        <w:rPr>
          <w:sz w:val="22"/>
          <w:szCs w:val="22"/>
        </w:rPr>
        <w:t>Nijmegen</w:t>
      </w:r>
      <w:proofErr w:type="spellEnd"/>
      <w:r w:rsidRPr="00FC55C4">
        <w:rPr>
          <w:sz w:val="22"/>
          <w:szCs w:val="22"/>
        </w:rPr>
        <w:t xml:space="preserve"> </w:t>
      </w:r>
      <w:proofErr w:type="spellStart"/>
      <w:r w:rsidRPr="00FC55C4">
        <w:rPr>
          <w:sz w:val="22"/>
          <w:szCs w:val="22"/>
        </w:rPr>
        <w:t>break</w:t>
      </w:r>
      <w:r>
        <w:rPr>
          <w:sz w:val="22"/>
          <w:szCs w:val="22"/>
        </w:rPr>
        <w:t>age</w:t>
      </w:r>
      <w:proofErr w:type="spellEnd"/>
      <w:r>
        <w:rPr>
          <w:sz w:val="22"/>
          <w:szCs w:val="22"/>
        </w:rPr>
        <w:t xml:space="preserve"> syndrom</w:t>
      </w:r>
      <w:r w:rsidR="00F65BF1">
        <w:rPr>
          <w:sz w:val="22"/>
          <w:szCs w:val="22"/>
        </w:rPr>
        <w:t>u</w:t>
      </w:r>
      <w:r w:rsidRPr="00FC55C4">
        <w:rPr>
          <w:sz w:val="22"/>
          <w:szCs w:val="22"/>
        </w:rPr>
        <w:t>, CCFDN syndrom</w:t>
      </w:r>
      <w:r w:rsidR="00F65BF1">
        <w:rPr>
          <w:sz w:val="22"/>
          <w:szCs w:val="22"/>
        </w:rPr>
        <w:t>u</w:t>
      </w:r>
      <w:r w:rsidRPr="00FC55C4">
        <w:rPr>
          <w:sz w:val="22"/>
          <w:szCs w:val="22"/>
        </w:rPr>
        <w:t xml:space="preserve">, </w:t>
      </w:r>
      <w:proofErr w:type="spellStart"/>
      <w:r w:rsidRPr="00FC55C4">
        <w:rPr>
          <w:sz w:val="22"/>
          <w:szCs w:val="22"/>
        </w:rPr>
        <w:t>Peliza</w:t>
      </w:r>
      <w:r>
        <w:rPr>
          <w:sz w:val="22"/>
          <w:szCs w:val="22"/>
        </w:rPr>
        <w:t>e</w:t>
      </w:r>
      <w:r w:rsidRPr="00FC55C4">
        <w:rPr>
          <w:sz w:val="22"/>
          <w:szCs w:val="22"/>
        </w:rPr>
        <w:t>us</w:t>
      </w:r>
      <w:proofErr w:type="spellEnd"/>
      <w:r w:rsidRPr="00FC55C4">
        <w:rPr>
          <w:sz w:val="22"/>
          <w:szCs w:val="22"/>
        </w:rPr>
        <w:t xml:space="preserve"> </w:t>
      </w:r>
      <w:proofErr w:type="spellStart"/>
      <w:r w:rsidRPr="00FC55C4">
        <w:rPr>
          <w:sz w:val="22"/>
          <w:szCs w:val="22"/>
        </w:rPr>
        <w:t>Merzbacherov</w:t>
      </w:r>
      <w:r w:rsidR="00F65BF1">
        <w:rPr>
          <w:sz w:val="22"/>
          <w:szCs w:val="22"/>
        </w:rPr>
        <w:t>y</w:t>
      </w:r>
      <w:proofErr w:type="spellEnd"/>
      <w:r w:rsidRPr="00FC55C4">
        <w:rPr>
          <w:sz w:val="22"/>
          <w:szCs w:val="22"/>
        </w:rPr>
        <w:t xml:space="preserve"> chorob</w:t>
      </w:r>
      <w:r w:rsidR="00F65BF1">
        <w:rPr>
          <w:sz w:val="22"/>
          <w:szCs w:val="22"/>
        </w:rPr>
        <w:t>y</w:t>
      </w:r>
      <w:r w:rsidRPr="00FC55C4">
        <w:rPr>
          <w:sz w:val="22"/>
          <w:szCs w:val="22"/>
        </w:rPr>
        <w:t>. Bližší specifik</w:t>
      </w:r>
      <w:r>
        <w:rPr>
          <w:sz w:val="22"/>
          <w:szCs w:val="22"/>
        </w:rPr>
        <w:t>ace pro jednotlivá onemocnění jsou</w:t>
      </w:r>
      <w:r w:rsidRPr="00FC55C4">
        <w:rPr>
          <w:sz w:val="22"/>
          <w:szCs w:val="22"/>
        </w:rPr>
        <w:t xml:space="preserve"> uveden</w:t>
      </w:r>
      <w:r>
        <w:rPr>
          <w:sz w:val="22"/>
          <w:szCs w:val="22"/>
        </w:rPr>
        <w:t>é</w:t>
      </w:r>
      <w:r w:rsidRPr="00FC55C4">
        <w:rPr>
          <w:sz w:val="22"/>
          <w:szCs w:val="22"/>
        </w:rPr>
        <w:t xml:space="preserve"> v</w:t>
      </w:r>
      <w:r>
        <w:rPr>
          <w:sz w:val="22"/>
          <w:szCs w:val="22"/>
        </w:rPr>
        <w:t> </w:t>
      </w:r>
      <w:r w:rsidRPr="00FC55C4">
        <w:rPr>
          <w:sz w:val="22"/>
          <w:szCs w:val="22"/>
        </w:rPr>
        <w:t>příloze</w:t>
      </w:r>
      <w:r>
        <w:rPr>
          <w:sz w:val="22"/>
          <w:szCs w:val="22"/>
        </w:rPr>
        <w:t xml:space="preserve"> LP č. 1</w:t>
      </w:r>
      <w:r w:rsidRPr="00FC55C4">
        <w:rPr>
          <w:sz w:val="22"/>
          <w:szCs w:val="22"/>
        </w:rPr>
        <w:t>.</w:t>
      </w:r>
      <w:r>
        <w:rPr>
          <w:b/>
        </w:rPr>
        <w:t xml:space="preserve"> </w:t>
      </w:r>
      <w:r>
        <w:rPr>
          <w:sz w:val="22"/>
        </w:rPr>
        <w:t xml:space="preserve"> </w:t>
      </w:r>
    </w:p>
    <w:p w:rsidR="00686686" w:rsidRPr="006165AC" w:rsidRDefault="00686686" w:rsidP="006518D3">
      <w:pPr>
        <w:pStyle w:val="Nadpis2"/>
      </w:pPr>
      <w:bookmarkStart w:id="27" w:name="_Toc503859135"/>
      <w:bookmarkStart w:id="28" w:name="_Toc45707696"/>
      <w:r w:rsidRPr="006165AC">
        <w:t>Organizace laboratoře</w:t>
      </w:r>
      <w:bookmarkEnd w:id="27"/>
      <w:bookmarkEnd w:id="28"/>
    </w:p>
    <w:p w:rsidR="00686686" w:rsidRPr="006165AC" w:rsidRDefault="00686686" w:rsidP="00522906">
      <w:pPr>
        <w:ind w:left="578"/>
      </w:pPr>
      <w:r w:rsidRPr="006165AC">
        <w:t xml:space="preserve">Příjem biologického materiálu probíhá </w:t>
      </w:r>
      <w:r>
        <w:t xml:space="preserve">v pracovní dny v provozní době laboratoře (nebo po domluvě) prostřednictvím běžné pošty </w:t>
      </w:r>
      <w:r w:rsidRPr="006165AC">
        <w:t>nebo osobní donášky pověřeným zdravotnickým pracovníkem.</w:t>
      </w:r>
      <w:r>
        <w:t xml:space="preserve"> Laboratoř neprovádí odběr primárních vzorků.</w:t>
      </w:r>
    </w:p>
    <w:p w:rsidR="00686686" w:rsidRPr="006165AC" w:rsidRDefault="00686686" w:rsidP="006518D3">
      <w:pPr>
        <w:ind w:left="2832" w:hanging="2256"/>
        <w:rPr>
          <w:szCs w:val="22"/>
        </w:rPr>
      </w:pPr>
    </w:p>
    <w:p w:rsidR="00686686" w:rsidRDefault="00686686" w:rsidP="00B10653">
      <w:pPr>
        <w:ind w:left="2832" w:hanging="2256"/>
        <w:rPr>
          <w:szCs w:val="22"/>
        </w:rPr>
      </w:pPr>
      <w:r w:rsidRPr="006165AC">
        <w:rPr>
          <w:szCs w:val="22"/>
          <w:u w:val="single"/>
        </w:rPr>
        <w:t>Provozní doba laboratoře</w:t>
      </w:r>
      <w:r w:rsidRPr="006165AC">
        <w:rPr>
          <w:szCs w:val="22"/>
        </w:rPr>
        <w:t>:</w:t>
      </w:r>
      <w:r w:rsidRPr="006165AC">
        <w:rPr>
          <w:szCs w:val="22"/>
        </w:rPr>
        <w:tab/>
      </w:r>
      <w:r w:rsidRPr="006165AC">
        <w:rPr>
          <w:szCs w:val="22"/>
        </w:rPr>
        <w:tab/>
      </w:r>
      <w:r w:rsidRPr="006165AC">
        <w:rPr>
          <w:szCs w:val="22"/>
        </w:rPr>
        <w:tab/>
      </w:r>
      <w:r>
        <w:rPr>
          <w:szCs w:val="22"/>
        </w:rPr>
        <w:t xml:space="preserve">Po – Pá </w:t>
      </w:r>
      <w:r>
        <w:rPr>
          <w:szCs w:val="22"/>
        </w:rPr>
        <w:tab/>
        <w:t>8:00 – 15:30</w:t>
      </w:r>
    </w:p>
    <w:p w:rsidR="00686686" w:rsidRDefault="00686686" w:rsidP="00B10653">
      <w:pPr>
        <w:ind w:left="2832" w:hanging="2256"/>
        <w:rPr>
          <w:szCs w:val="22"/>
        </w:rPr>
      </w:pPr>
      <w:r>
        <w:rPr>
          <w:szCs w:val="22"/>
          <w:u w:val="single"/>
        </w:rPr>
        <w:t>Příjem vzorků</w:t>
      </w:r>
      <w:r w:rsidRPr="006942AA">
        <w:rPr>
          <w:szCs w:val="22"/>
        </w:rPr>
        <w:t>:</w:t>
      </w:r>
      <w:r>
        <w:rPr>
          <w:szCs w:val="22"/>
        </w:rPr>
        <w:tab/>
      </w:r>
      <w:r>
        <w:rPr>
          <w:szCs w:val="22"/>
        </w:rPr>
        <w:tab/>
      </w:r>
      <w:r>
        <w:rPr>
          <w:szCs w:val="22"/>
        </w:rPr>
        <w:tab/>
      </w:r>
      <w:r>
        <w:rPr>
          <w:szCs w:val="22"/>
        </w:rPr>
        <w:tab/>
        <w:t xml:space="preserve">Po – Pá </w:t>
      </w:r>
      <w:r>
        <w:rPr>
          <w:szCs w:val="22"/>
        </w:rPr>
        <w:tab/>
        <w:t>8:00 – 15:30</w:t>
      </w:r>
    </w:p>
    <w:p w:rsidR="00686686" w:rsidRPr="006942AA" w:rsidRDefault="00686686" w:rsidP="00B10653">
      <w:pPr>
        <w:ind w:left="2832" w:hanging="2256"/>
        <w:rPr>
          <w:szCs w:val="22"/>
          <w:u w:val="single"/>
        </w:rPr>
      </w:pPr>
      <w:r w:rsidRPr="006942AA">
        <w:rPr>
          <w:szCs w:val="22"/>
          <w:u w:val="single"/>
        </w:rPr>
        <w:t>Tel</w:t>
      </w:r>
      <w:r>
        <w:rPr>
          <w:szCs w:val="22"/>
          <w:u w:val="single"/>
        </w:rPr>
        <w:t>efon do</w:t>
      </w:r>
      <w:r w:rsidRPr="006942AA">
        <w:rPr>
          <w:szCs w:val="22"/>
          <w:u w:val="single"/>
        </w:rPr>
        <w:t xml:space="preserve"> laboratoř</w:t>
      </w:r>
      <w:r>
        <w:rPr>
          <w:szCs w:val="22"/>
          <w:u w:val="single"/>
        </w:rPr>
        <w:t>e</w:t>
      </w:r>
      <w:r w:rsidRPr="006942AA">
        <w:rPr>
          <w:szCs w:val="22"/>
          <w:u w:val="single"/>
        </w:rPr>
        <w:t>:</w:t>
      </w:r>
      <w:r w:rsidRPr="006942AA">
        <w:rPr>
          <w:szCs w:val="22"/>
        </w:rPr>
        <w:tab/>
      </w:r>
      <w:r w:rsidRPr="006942AA">
        <w:rPr>
          <w:szCs w:val="22"/>
        </w:rPr>
        <w:tab/>
      </w:r>
      <w:r w:rsidRPr="006942AA">
        <w:rPr>
          <w:szCs w:val="22"/>
        </w:rPr>
        <w:tab/>
      </w:r>
      <w:r w:rsidRPr="006942AA">
        <w:rPr>
          <w:szCs w:val="22"/>
        </w:rPr>
        <w:tab/>
      </w:r>
      <w:r>
        <w:rPr>
          <w:szCs w:val="22"/>
        </w:rPr>
        <w:t>22 443 678</w:t>
      </w:r>
      <w:r w:rsidR="006150E5">
        <w:rPr>
          <w:szCs w:val="22"/>
        </w:rPr>
        <w:t>8, 22 443 6789</w:t>
      </w:r>
    </w:p>
    <w:p w:rsidR="00686686" w:rsidRDefault="00686686" w:rsidP="00B10653">
      <w:pPr>
        <w:ind w:left="2832" w:hanging="2256"/>
        <w:rPr>
          <w:b/>
        </w:rPr>
      </w:pPr>
    </w:p>
    <w:p w:rsidR="00686686" w:rsidRPr="00B10653" w:rsidRDefault="00686686" w:rsidP="00AF74CF">
      <w:pPr>
        <w:pStyle w:val="Nadpis2"/>
        <w:rPr>
          <w:szCs w:val="22"/>
        </w:rPr>
      </w:pPr>
      <w:bookmarkStart w:id="29" w:name="_Toc45707697"/>
      <w:r w:rsidRPr="00B10653">
        <w:t>Zásady na ochranu osobních informací</w:t>
      </w:r>
      <w:bookmarkEnd w:id="29"/>
    </w:p>
    <w:p w:rsidR="00686686" w:rsidRDefault="00686686" w:rsidP="00B10653">
      <w:pPr>
        <w:ind w:left="578"/>
        <w:rPr>
          <w:szCs w:val="22"/>
        </w:rPr>
      </w:pPr>
      <w:r w:rsidRPr="00DB46D4">
        <w:rPr>
          <w:szCs w:val="22"/>
        </w:rPr>
        <w:t>Laboratoř se zavazuje, že v souladu s ustanoveními zákona č. 101/2000 Sb., o ochraně osobních údajů, v </w:t>
      </w:r>
      <w:r>
        <w:rPr>
          <w:szCs w:val="22"/>
        </w:rPr>
        <w:t>p</w:t>
      </w:r>
      <w:r w:rsidRPr="00DB46D4">
        <w:rPr>
          <w:szCs w:val="22"/>
        </w:rPr>
        <w:t>l</w:t>
      </w:r>
      <w:r>
        <w:rPr>
          <w:szCs w:val="22"/>
        </w:rPr>
        <w:t>a</w:t>
      </w:r>
      <w:r w:rsidRPr="00DB46D4">
        <w:rPr>
          <w:szCs w:val="22"/>
        </w:rPr>
        <w:t xml:space="preserve">tném znění, a </w:t>
      </w:r>
      <w:proofErr w:type="spellStart"/>
      <w:r w:rsidRPr="00DB46D4">
        <w:rPr>
          <w:szCs w:val="22"/>
        </w:rPr>
        <w:t>ust</w:t>
      </w:r>
      <w:proofErr w:type="spellEnd"/>
      <w:r w:rsidRPr="00DB46D4">
        <w:rPr>
          <w:szCs w:val="22"/>
        </w:rPr>
        <w:t xml:space="preserve">. </w:t>
      </w:r>
      <w:r>
        <w:rPr>
          <w:szCs w:val="22"/>
        </w:rPr>
        <w:t xml:space="preserve">§ </w:t>
      </w:r>
      <w:r w:rsidRPr="00DB46D4">
        <w:rPr>
          <w:szCs w:val="22"/>
        </w:rPr>
        <w:t>51</w:t>
      </w:r>
      <w:r>
        <w:rPr>
          <w:szCs w:val="22"/>
        </w:rPr>
        <w:t xml:space="preserve"> a </w:t>
      </w:r>
      <w:proofErr w:type="spellStart"/>
      <w:r>
        <w:rPr>
          <w:szCs w:val="22"/>
        </w:rPr>
        <w:t>násled</w:t>
      </w:r>
      <w:proofErr w:type="spellEnd"/>
      <w:r>
        <w:rPr>
          <w:szCs w:val="22"/>
        </w:rPr>
        <w:t>. zákona č. 372/2011 Sb., o zdravotnických službách, v platném znění, bude náležitě nakládat se všemi citlivými údaji, nepředávat tyto citlivé údaje třetím osobám a zachovávat bezvýhradně mlčenlivost o všech informacích týkajících se vyšetření a výsledků pacienta v rozsahu platných právních předpisů.</w:t>
      </w:r>
    </w:p>
    <w:p w:rsidR="00686686" w:rsidRPr="00701A03" w:rsidRDefault="00686686" w:rsidP="000904B8">
      <w:pPr>
        <w:ind w:left="578"/>
        <w:rPr>
          <w:lang w:eastAsia="en-US"/>
        </w:rPr>
      </w:pPr>
      <w:r w:rsidRPr="00701A03">
        <w:rPr>
          <w:lang w:eastAsia="en-US"/>
        </w:rPr>
        <w:lastRenderedPageBreak/>
        <w:t>Laboratoř nakládá s osobními a citlivými údaji pacientů tak, aby nemohlo dojít k</w:t>
      </w:r>
      <w:r>
        <w:rPr>
          <w:lang w:eastAsia="en-US"/>
        </w:rPr>
        <w:t> </w:t>
      </w:r>
      <w:r w:rsidRPr="00701A03">
        <w:rPr>
          <w:lang w:eastAsia="en-US"/>
        </w:rPr>
        <w:t>neoprávněnému</w:t>
      </w:r>
      <w:r>
        <w:rPr>
          <w:lang w:eastAsia="en-US"/>
        </w:rPr>
        <w:t xml:space="preserve"> </w:t>
      </w:r>
      <w:r w:rsidRPr="00701A03">
        <w:rPr>
          <w:lang w:eastAsia="en-US"/>
        </w:rPr>
        <w:t>přístupu k nim, k jejich změně nebo zneužití. Obecné zásady pro ochranu osobních údajů:</w:t>
      </w:r>
    </w:p>
    <w:p w:rsidR="00686686" w:rsidRPr="00701A03" w:rsidRDefault="00686686" w:rsidP="000904B8">
      <w:pPr>
        <w:ind w:left="578"/>
        <w:rPr>
          <w:lang w:eastAsia="en-US"/>
        </w:rPr>
      </w:pPr>
      <w:r w:rsidRPr="00701A03">
        <w:rPr>
          <w:lang w:eastAsia="en-US"/>
        </w:rPr>
        <w:t>1) Organizační opatření:</w:t>
      </w:r>
    </w:p>
    <w:p w:rsidR="00686686" w:rsidRPr="0003717D" w:rsidRDefault="00686686" w:rsidP="000904B8">
      <w:pPr>
        <w:ind w:left="578"/>
        <w:rPr>
          <w:lang w:eastAsia="en-US"/>
        </w:rPr>
      </w:pPr>
      <w:r w:rsidRPr="00701A03">
        <w:rPr>
          <w:lang w:eastAsia="en-US"/>
        </w:rPr>
        <w:t xml:space="preserve">Osobní a citlivá data pacientů jsou vedena v listinné </w:t>
      </w:r>
      <w:r>
        <w:rPr>
          <w:lang w:eastAsia="en-US"/>
        </w:rPr>
        <w:t>a elektronické formě</w:t>
      </w:r>
      <w:r w:rsidRPr="00701A03">
        <w:rPr>
          <w:lang w:eastAsia="en-US"/>
        </w:rPr>
        <w:t>.</w:t>
      </w:r>
      <w:r>
        <w:rPr>
          <w:lang w:eastAsia="en-US"/>
        </w:rPr>
        <w:t xml:space="preserve"> Obě formy záznamu jsou zabezpečeny</w:t>
      </w:r>
      <w:r w:rsidRPr="0003717D">
        <w:rPr>
          <w:lang w:eastAsia="en-US"/>
        </w:rPr>
        <w:t xml:space="preserve"> uzamčen</w:t>
      </w:r>
      <w:r>
        <w:rPr>
          <w:lang w:eastAsia="en-US"/>
        </w:rPr>
        <w:t>ím vstupu do laboratoře</w:t>
      </w:r>
      <w:r w:rsidRPr="0003717D">
        <w:rPr>
          <w:lang w:eastAsia="en-US"/>
        </w:rPr>
        <w:t xml:space="preserve"> a řízením</w:t>
      </w:r>
      <w:r>
        <w:rPr>
          <w:lang w:eastAsia="en-US"/>
        </w:rPr>
        <w:t xml:space="preserve"> </w:t>
      </w:r>
      <w:r w:rsidRPr="0003717D">
        <w:rPr>
          <w:lang w:eastAsia="en-US"/>
        </w:rPr>
        <w:t>vstupu cizích osob.</w:t>
      </w:r>
      <w:r>
        <w:rPr>
          <w:lang w:eastAsia="en-US"/>
        </w:rPr>
        <w:t xml:space="preserve"> </w:t>
      </w:r>
      <w:r w:rsidRPr="0003717D">
        <w:rPr>
          <w:lang w:eastAsia="en-US"/>
        </w:rPr>
        <w:t xml:space="preserve">Zaměstnanci </w:t>
      </w:r>
      <w:r>
        <w:rPr>
          <w:lang w:eastAsia="en-US"/>
        </w:rPr>
        <w:t>a další pracovníci laboratoře</w:t>
      </w:r>
      <w:r w:rsidRPr="0003717D">
        <w:rPr>
          <w:lang w:eastAsia="en-US"/>
        </w:rPr>
        <w:t xml:space="preserve"> jsou seznámeni se závazkem o zachování mlčenlivosti týkající se důvěrných</w:t>
      </w:r>
      <w:r>
        <w:rPr>
          <w:lang w:eastAsia="en-US"/>
        </w:rPr>
        <w:t xml:space="preserve"> informací o pacientech, </w:t>
      </w:r>
      <w:r w:rsidRPr="0003717D">
        <w:rPr>
          <w:lang w:eastAsia="en-US"/>
        </w:rPr>
        <w:t>tento závazek je stvrzen podpisem za</w:t>
      </w:r>
      <w:r>
        <w:rPr>
          <w:lang w:eastAsia="en-US"/>
        </w:rPr>
        <w:t xml:space="preserve">městnance na příslušném záznamu (viz </w:t>
      </w:r>
      <w:r w:rsidRPr="009F3D01">
        <w:rPr>
          <w:i/>
          <w:lang w:eastAsia="en-US"/>
        </w:rPr>
        <w:t>Popis náplně práce zaměstnance</w:t>
      </w:r>
      <w:r>
        <w:rPr>
          <w:lang w:eastAsia="en-US"/>
        </w:rPr>
        <w:t xml:space="preserve">). </w:t>
      </w:r>
      <w:r w:rsidRPr="00701A03">
        <w:rPr>
          <w:lang w:eastAsia="en-US"/>
        </w:rPr>
        <w:t>Externí zaměstnanci podepisují seznámení se závazkem o povinném zachování mlčenlivosti</w:t>
      </w:r>
      <w:r>
        <w:rPr>
          <w:lang w:eastAsia="en-US"/>
        </w:rPr>
        <w:t xml:space="preserve"> (viz </w:t>
      </w:r>
      <w:r w:rsidRPr="009F3D01">
        <w:rPr>
          <w:i/>
          <w:lang w:eastAsia="en-US"/>
        </w:rPr>
        <w:t>Kniha návštěv</w:t>
      </w:r>
      <w:r>
        <w:rPr>
          <w:lang w:eastAsia="en-US"/>
        </w:rPr>
        <w:t>)</w:t>
      </w:r>
      <w:r w:rsidRPr="0003717D">
        <w:rPr>
          <w:lang w:eastAsia="en-US"/>
        </w:rPr>
        <w:t>. Pracovníci jsou</w:t>
      </w:r>
      <w:r>
        <w:rPr>
          <w:lang w:eastAsia="en-US"/>
        </w:rPr>
        <w:t xml:space="preserve"> </w:t>
      </w:r>
      <w:r w:rsidRPr="0003717D">
        <w:rPr>
          <w:lang w:eastAsia="en-US"/>
        </w:rPr>
        <w:t xml:space="preserve">prokazatelně seznámeni s vnitřními předpisy </w:t>
      </w:r>
      <w:r>
        <w:rPr>
          <w:lang w:eastAsia="en-US"/>
        </w:rPr>
        <w:t>laboratoře</w:t>
      </w:r>
      <w:r w:rsidRPr="0003717D">
        <w:rPr>
          <w:lang w:eastAsia="en-US"/>
        </w:rPr>
        <w:t>, ve kterých jsou stanovena</w:t>
      </w:r>
      <w:r>
        <w:rPr>
          <w:lang w:eastAsia="en-US"/>
        </w:rPr>
        <w:t xml:space="preserve"> </w:t>
      </w:r>
      <w:r w:rsidRPr="0003717D">
        <w:rPr>
          <w:lang w:eastAsia="en-US"/>
        </w:rPr>
        <w:t>pravidla pro nakládání s osobními údaji.</w:t>
      </w:r>
    </w:p>
    <w:p w:rsidR="00686686" w:rsidRPr="00701A03" w:rsidRDefault="00686686" w:rsidP="000904B8">
      <w:pPr>
        <w:ind w:left="578"/>
        <w:rPr>
          <w:lang w:eastAsia="en-US"/>
        </w:rPr>
      </w:pPr>
      <w:r w:rsidRPr="00701A03">
        <w:rPr>
          <w:lang w:eastAsia="en-US"/>
        </w:rPr>
        <w:t>2) Technická opatření:</w:t>
      </w:r>
    </w:p>
    <w:p w:rsidR="00686686" w:rsidRPr="0003717D" w:rsidRDefault="00686686" w:rsidP="000904B8">
      <w:pPr>
        <w:ind w:left="578"/>
        <w:rPr>
          <w:lang w:eastAsia="en-US"/>
        </w:rPr>
      </w:pPr>
      <w:r w:rsidRPr="00701A03">
        <w:rPr>
          <w:lang w:eastAsia="en-US"/>
        </w:rPr>
        <w:t>Technická opatření jsou stanovena na úrovni mechanického zabránění přístupu neoprávněných osob</w:t>
      </w:r>
      <w:r>
        <w:rPr>
          <w:lang w:eastAsia="en-US"/>
        </w:rPr>
        <w:t xml:space="preserve"> </w:t>
      </w:r>
      <w:r w:rsidRPr="0003717D">
        <w:rPr>
          <w:lang w:eastAsia="en-US"/>
        </w:rPr>
        <w:t>do míst, kde je uložena zdravotnická dokumentace. Jedná se o řízený vstup do laboratoře.</w:t>
      </w:r>
    </w:p>
    <w:p w:rsidR="00686686" w:rsidRPr="00143CED" w:rsidRDefault="00686686" w:rsidP="00FF0681">
      <w:pPr>
        <w:ind w:left="567"/>
        <w:rPr>
          <w:rFonts w:ascii="Calibri" w:hAnsi="Calibri" w:cs="Calibri"/>
          <w:color w:val="000000"/>
          <w:szCs w:val="22"/>
        </w:rPr>
      </w:pPr>
      <w:r w:rsidRPr="00701A03">
        <w:rPr>
          <w:lang w:eastAsia="en-US"/>
        </w:rPr>
        <w:t>Zdravotnická dokumentace uložená v počítačových databázích je chráněna omezeným přístupem jen</w:t>
      </w:r>
      <w:r>
        <w:rPr>
          <w:lang w:eastAsia="en-US"/>
        </w:rPr>
        <w:t xml:space="preserve"> </w:t>
      </w:r>
      <w:r w:rsidRPr="0003717D">
        <w:rPr>
          <w:lang w:eastAsia="en-US"/>
        </w:rPr>
        <w:t>pro vybrané pracovníky a po přihlášení uživatelským jménem a heslem v souladu se směrnicí</w:t>
      </w:r>
      <w:r>
        <w:rPr>
          <w:lang w:eastAsia="en-US"/>
        </w:rPr>
        <w:t xml:space="preserve"> </w:t>
      </w:r>
      <w:r w:rsidR="00143CED" w:rsidRPr="00143CED">
        <w:rPr>
          <w:i/>
          <w:color w:val="000000"/>
          <w:szCs w:val="22"/>
        </w:rPr>
        <w:t>IOS_3/2008-3_</w:t>
      </w:r>
      <w:r w:rsidRPr="00143CED">
        <w:rPr>
          <w:i/>
          <w:lang w:eastAsia="en-US"/>
        </w:rPr>
        <w:t>Bezpečnostní</w:t>
      </w:r>
      <w:r w:rsidRPr="009F3D01">
        <w:rPr>
          <w:i/>
          <w:lang w:eastAsia="en-US"/>
        </w:rPr>
        <w:t xml:space="preserve"> politika informací</w:t>
      </w:r>
      <w:r w:rsidRPr="0003717D">
        <w:rPr>
          <w:lang w:eastAsia="en-US"/>
        </w:rPr>
        <w:t>.</w:t>
      </w:r>
      <w:r>
        <w:rPr>
          <w:lang w:eastAsia="en-US"/>
        </w:rPr>
        <w:t xml:space="preserve"> </w:t>
      </w:r>
      <w:r w:rsidRPr="00701A03">
        <w:rPr>
          <w:lang w:eastAsia="en-US"/>
        </w:rPr>
        <w:t xml:space="preserve">Všechna opatření jsou v souladu s </w:t>
      </w:r>
      <w:r>
        <w:rPr>
          <w:lang w:eastAsia="en-US"/>
        </w:rPr>
        <w:t>politikou</w:t>
      </w:r>
      <w:r w:rsidRPr="00701A03">
        <w:rPr>
          <w:lang w:eastAsia="en-US"/>
        </w:rPr>
        <w:t xml:space="preserve"> řízení bezpečnosti</w:t>
      </w:r>
      <w:r>
        <w:rPr>
          <w:lang w:eastAsia="en-US"/>
        </w:rPr>
        <w:t xml:space="preserve"> ve FN Motol.</w:t>
      </w:r>
    </w:p>
    <w:p w:rsidR="00686686" w:rsidRPr="0008196A" w:rsidRDefault="00686686" w:rsidP="006518D3">
      <w:pPr>
        <w:pStyle w:val="Nadpis2"/>
      </w:pPr>
      <w:bookmarkStart w:id="30" w:name="_Toc503859136"/>
      <w:bookmarkStart w:id="31" w:name="_Toc45707698"/>
      <w:r w:rsidRPr="0008196A">
        <w:t>Spektrum nabízených služeb</w:t>
      </w:r>
      <w:bookmarkEnd w:id="30"/>
      <w:bookmarkEnd w:id="31"/>
    </w:p>
    <w:p w:rsidR="00686686" w:rsidRDefault="00686686" w:rsidP="00722151">
      <w:pPr>
        <w:pStyle w:val="Normlnweb"/>
        <w:spacing w:before="0" w:beforeAutospacing="0" w:after="0" w:afterAutospacing="0" w:line="360" w:lineRule="auto"/>
        <w:ind w:left="578"/>
        <w:jc w:val="both"/>
        <w:rPr>
          <w:sz w:val="22"/>
          <w:szCs w:val="22"/>
        </w:rPr>
      </w:pPr>
      <w:bookmarkStart w:id="32" w:name="_Toc503859137"/>
      <w:r>
        <w:rPr>
          <w:sz w:val="22"/>
          <w:szCs w:val="22"/>
        </w:rPr>
        <w:t xml:space="preserve">Molekulárně genetické vyšetření je indikováno lékařem, ve většině případů klinickým genetikem (s odborností 208) po genetické konzultaci pacienta. Některá genetická vyšetření mohou být indikována i lékařem jiné odbornosti (např. 209 a 409) – specialistou. Izolace DNA je v laboratoři výchozí krok ke všem metodám molekulární genetiky. Vyšetření jsou prováděna pouze s informovaným souhlasem vyšetřovaného (případně jeho zákonného zástupce). Vyšetřovaný (případně jeho zákonný zástupce) musí být lékařem řádně poučen o charakteru, významu a důsledcích vyšetření a podepisuje </w:t>
      </w:r>
      <w:r w:rsidRPr="00BA2D10">
        <w:rPr>
          <w:sz w:val="22"/>
          <w:szCs w:val="22"/>
        </w:rPr>
        <w:t xml:space="preserve">Informovaný souhlas </w:t>
      </w:r>
      <w:r>
        <w:rPr>
          <w:sz w:val="22"/>
          <w:szCs w:val="22"/>
        </w:rPr>
        <w:t>pacienta s genetickým laboratorním vyšetřením.</w:t>
      </w:r>
    </w:p>
    <w:p w:rsidR="00686686" w:rsidRDefault="00686686" w:rsidP="00ED7A57">
      <w:pPr>
        <w:pStyle w:val="Normlnweb"/>
        <w:spacing w:before="0" w:beforeAutospacing="0" w:after="0" w:afterAutospacing="0" w:line="360" w:lineRule="auto"/>
        <w:ind w:left="578"/>
        <w:jc w:val="both"/>
        <w:rPr>
          <w:rFonts w:cs="Arial"/>
          <w:b/>
          <w:bCs/>
          <w:kern w:val="32"/>
          <w:sz w:val="28"/>
          <w:szCs w:val="32"/>
        </w:rPr>
      </w:pPr>
      <w:r w:rsidRPr="00FF0681">
        <w:rPr>
          <w:sz w:val="22"/>
          <w:szCs w:val="22"/>
        </w:rPr>
        <w:t xml:space="preserve">Přehled poskytovaných vyšetření s uvedením základních informací o vyšetření, indikačních kritérií a požadavků na vzorek je uveden v samostatné příloze LP č. 1 na webových stránkách </w:t>
      </w:r>
      <w:bookmarkEnd w:id="32"/>
      <w:r w:rsidR="00DF18E6">
        <w:fldChar w:fldCharType="begin"/>
      </w:r>
      <w:r w:rsidR="00ED7A57">
        <w:instrText xml:space="preserve"> HYPERLINK "https://www.fnmotol.cz/neurogeneticka-laborator/%20" </w:instrText>
      </w:r>
      <w:r w:rsidR="00DF18E6">
        <w:fldChar w:fldCharType="separate"/>
      </w:r>
      <w:r w:rsidR="00ED7A57" w:rsidRPr="00ED7A57">
        <w:rPr>
          <w:rStyle w:val="Hypertextovodkaz"/>
        </w:rPr>
        <w:t>https://www.fnmotol.cz/neurogeneticka-laborator/</w:t>
      </w:r>
      <w:r w:rsidR="00DF18E6">
        <w:fldChar w:fldCharType="end"/>
      </w:r>
      <w:r w:rsidR="00ED7A57">
        <w:t>.</w:t>
      </w:r>
      <w:r>
        <w:br w:type="page"/>
      </w:r>
    </w:p>
    <w:p w:rsidR="00686686" w:rsidRPr="00052756" w:rsidRDefault="00686686" w:rsidP="00052756">
      <w:pPr>
        <w:pStyle w:val="Nadpis1"/>
      </w:pPr>
      <w:bookmarkStart w:id="33" w:name="_Toc45707699"/>
      <w:r w:rsidRPr="00052756">
        <w:lastRenderedPageBreak/>
        <w:t>Informace o provedení objednávky vyšetření</w:t>
      </w:r>
      <w:bookmarkEnd w:id="33"/>
    </w:p>
    <w:p w:rsidR="00686686" w:rsidRPr="00047BC5" w:rsidRDefault="00686686" w:rsidP="00052756">
      <w:pPr>
        <w:pStyle w:val="Nadpis2"/>
      </w:pPr>
      <w:bookmarkStart w:id="34" w:name="_Toc45707700"/>
      <w:r w:rsidRPr="00047BC5">
        <w:t>Žádanky k vyšetření</w:t>
      </w:r>
      <w:bookmarkEnd w:id="34"/>
    </w:p>
    <w:p w:rsidR="00686686" w:rsidRPr="00047BC5" w:rsidRDefault="00686686" w:rsidP="00052756">
      <w:pPr>
        <w:pStyle w:val="Nadpis3"/>
      </w:pPr>
      <w:bookmarkStart w:id="35" w:name="_Toc45707701"/>
      <w:r w:rsidRPr="00047BC5">
        <w:t>Formuláře žádanky</w:t>
      </w:r>
      <w:bookmarkEnd w:id="35"/>
    </w:p>
    <w:p w:rsidR="00686686" w:rsidRPr="00047BC5" w:rsidRDefault="00686686" w:rsidP="00052756">
      <w:pPr>
        <w:ind w:left="578"/>
      </w:pPr>
      <w:r w:rsidRPr="00047BC5">
        <w:t>Pro požadavky na vyšetření v</w:t>
      </w:r>
      <w:r>
        <w:t> </w:t>
      </w:r>
      <w:proofErr w:type="spellStart"/>
      <w:r>
        <w:t>Neurogenetické</w:t>
      </w:r>
      <w:proofErr w:type="spellEnd"/>
      <w:r>
        <w:t xml:space="preserve"> laboratoři </w:t>
      </w:r>
      <w:r w:rsidRPr="00047BC5">
        <w:t xml:space="preserve">doporučujeme použít formulář žádanky, který je ke stažení na veřejně přístupných stránkách </w:t>
      </w:r>
      <w:hyperlink r:id="rId16" w:history="1">
        <w:r w:rsidR="00ED7A57" w:rsidRPr="00ED7A57">
          <w:rPr>
            <w:rStyle w:val="Hypertextovodkaz"/>
          </w:rPr>
          <w:t>https://www.fnmotol.cz/neurogeneticka-laborator/</w:t>
        </w:r>
      </w:hyperlink>
      <w:r w:rsidR="00ED7A57">
        <w:t xml:space="preserve">. </w:t>
      </w:r>
      <w:r w:rsidRPr="00047BC5">
        <w:t>Jako žádanku je možné použít i jiný typ žádanky, vždy ale musí žádanka obsahovat údaje uvedené dále.</w:t>
      </w:r>
    </w:p>
    <w:p w:rsidR="00686686" w:rsidRPr="00052756" w:rsidRDefault="00686686" w:rsidP="00052756">
      <w:pPr>
        <w:pStyle w:val="Nadpis3"/>
      </w:pPr>
      <w:bookmarkStart w:id="36" w:name="_Toc45707702"/>
      <w:r w:rsidRPr="00047BC5">
        <w:t>Povinné údaje uvedené v žádance</w:t>
      </w:r>
      <w:bookmarkEnd w:id="36"/>
    </w:p>
    <w:p w:rsidR="00686686" w:rsidRPr="00047BC5" w:rsidRDefault="00686686" w:rsidP="00643FEB">
      <w:pPr>
        <w:ind w:left="578"/>
      </w:pPr>
      <w:r w:rsidRPr="00047BC5">
        <w:t xml:space="preserve">Žádanka k vyšetření musí být vyplněna čitelně a musí obsahovat </w:t>
      </w:r>
      <w:r w:rsidRPr="00047BC5">
        <w:rPr>
          <w:b/>
        </w:rPr>
        <w:t>povinně</w:t>
      </w:r>
      <w:r w:rsidRPr="00047BC5">
        <w:t xml:space="preserve"> tyto údaje:</w:t>
      </w:r>
    </w:p>
    <w:p w:rsidR="00686686" w:rsidRPr="00047BC5" w:rsidRDefault="00686686" w:rsidP="00FA0AF6">
      <w:pPr>
        <w:pStyle w:val="Odstavecseseznamem"/>
        <w:numPr>
          <w:ilvl w:val="0"/>
          <w:numId w:val="2"/>
        </w:numPr>
        <w:spacing w:after="200"/>
        <w:jc w:val="left"/>
      </w:pPr>
      <w:r w:rsidRPr="00047BC5">
        <w:t>Jméno a příjmení pacienta</w:t>
      </w:r>
      <w:r>
        <w:t xml:space="preserve"> s jasným určením co je příjmení a co je jméno </w:t>
      </w:r>
    </w:p>
    <w:p w:rsidR="00686686" w:rsidRDefault="00686686" w:rsidP="00FA0AF6">
      <w:pPr>
        <w:pStyle w:val="Odstavecseseznamem"/>
        <w:numPr>
          <w:ilvl w:val="0"/>
          <w:numId w:val="2"/>
        </w:numPr>
        <w:spacing w:after="200"/>
        <w:jc w:val="left"/>
      </w:pPr>
      <w:r w:rsidRPr="00047BC5">
        <w:t>číslo pojištěnce (rodné číslo, u cizince datum narození nebo vygenerované náhradní číslo dle data narození</w:t>
      </w:r>
      <w:r>
        <w:t>)</w:t>
      </w:r>
    </w:p>
    <w:p w:rsidR="00686686" w:rsidRPr="00F15E31" w:rsidRDefault="00686686" w:rsidP="00FA0AF6">
      <w:pPr>
        <w:pStyle w:val="Odstavecseseznamem"/>
        <w:numPr>
          <w:ilvl w:val="0"/>
          <w:numId w:val="2"/>
        </w:numPr>
        <w:spacing w:after="200"/>
        <w:jc w:val="left"/>
      </w:pPr>
      <w:r w:rsidRPr="00F15E31">
        <w:t xml:space="preserve">datum narození a pohlaví pacienta </w:t>
      </w:r>
      <w:r w:rsidR="000D16C8">
        <w:t>(pokud není zřejmé z rodného čísla)</w:t>
      </w:r>
    </w:p>
    <w:p w:rsidR="00686686" w:rsidRPr="00F15E31" w:rsidRDefault="00686686" w:rsidP="00FA0AF6">
      <w:pPr>
        <w:pStyle w:val="Odstavecseseznamem"/>
        <w:numPr>
          <w:ilvl w:val="0"/>
          <w:numId w:val="2"/>
        </w:numPr>
        <w:spacing w:after="200"/>
        <w:jc w:val="left"/>
      </w:pPr>
      <w:r w:rsidRPr="00F15E31">
        <w:t>kód zdravotní pojišťovny, kde je pacient pojištěn v době odběru</w:t>
      </w:r>
    </w:p>
    <w:p w:rsidR="00686686" w:rsidRPr="00F15E31" w:rsidRDefault="00686686" w:rsidP="00FA0AF6">
      <w:pPr>
        <w:pStyle w:val="Odstavecseseznamem"/>
        <w:numPr>
          <w:ilvl w:val="0"/>
          <w:numId w:val="2"/>
        </w:numPr>
        <w:spacing w:after="200"/>
        <w:jc w:val="left"/>
      </w:pPr>
      <w:r w:rsidRPr="00F15E31">
        <w:t xml:space="preserve">základní diagnózu pacienta dle MKN, důvod </w:t>
      </w:r>
      <w:r>
        <w:t>vyšetření a očekávaný přínos vyšetření</w:t>
      </w:r>
    </w:p>
    <w:p w:rsidR="00686686" w:rsidRPr="00F15E31" w:rsidRDefault="00686686" w:rsidP="00FA0AF6">
      <w:pPr>
        <w:pStyle w:val="Odstavecseseznamem"/>
        <w:numPr>
          <w:ilvl w:val="0"/>
          <w:numId w:val="2"/>
        </w:numPr>
        <w:spacing w:after="200"/>
        <w:jc w:val="left"/>
      </w:pPr>
      <w:r w:rsidRPr="00F15E31">
        <w:t xml:space="preserve">jednoznačnou identifikaci žadatele: indikujícího lékaře a zdravotnické zařízení (razítko, které obsahuje jméno, odbornost, IČP lékaře), adresu pro zaslání zprávy, kontaktní údaje (telefon, </w:t>
      </w:r>
      <w:proofErr w:type="spellStart"/>
      <w:r w:rsidRPr="00F15E31">
        <w:t>event</w:t>
      </w:r>
      <w:proofErr w:type="spellEnd"/>
      <w:r w:rsidRPr="00F15E31">
        <w:t>. email, fax)</w:t>
      </w:r>
    </w:p>
    <w:p w:rsidR="00686686" w:rsidRPr="00F15E31" w:rsidRDefault="00686686" w:rsidP="00FA0AF6">
      <w:pPr>
        <w:pStyle w:val="Odstavecseseznamem"/>
        <w:numPr>
          <w:ilvl w:val="0"/>
          <w:numId w:val="2"/>
        </w:numPr>
        <w:spacing w:after="200"/>
        <w:jc w:val="left"/>
      </w:pPr>
      <w:r w:rsidRPr="00F15E31">
        <w:t>podpis žadatele</w:t>
      </w:r>
    </w:p>
    <w:p w:rsidR="00686686" w:rsidRPr="00F15E31" w:rsidRDefault="00686686" w:rsidP="00FA0AF6">
      <w:pPr>
        <w:pStyle w:val="Odstavecseseznamem"/>
        <w:numPr>
          <w:ilvl w:val="0"/>
          <w:numId w:val="2"/>
        </w:numPr>
        <w:spacing w:after="200"/>
        <w:jc w:val="left"/>
      </w:pPr>
      <w:r w:rsidRPr="00F15E31">
        <w:t xml:space="preserve">požadovaná laboratorní vyšetření </w:t>
      </w:r>
    </w:p>
    <w:p w:rsidR="00686686" w:rsidRPr="00047BC5" w:rsidRDefault="00686686" w:rsidP="00FA0AF6">
      <w:pPr>
        <w:pStyle w:val="Odstavecseseznamem"/>
        <w:numPr>
          <w:ilvl w:val="0"/>
          <w:numId w:val="2"/>
        </w:numPr>
        <w:spacing w:after="200"/>
        <w:jc w:val="left"/>
      </w:pPr>
      <w:r w:rsidRPr="00047BC5">
        <w:t xml:space="preserve">u dodání primárního vzorku (krev, sliny) datum a </w:t>
      </w:r>
      <w:r>
        <w:t xml:space="preserve">případně </w:t>
      </w:r>
      <w:r w:rsidRPr="00047BC5">
        <w:t>čas odběru</w:t>
      </w:r>
    </w:p>
    <w:p w:rsidR="00686686" w:rsidRPr="00047BC5" w:rsidRDefault="00686686" w:rsidP="00FA0AF6">
      <w:pPr>
        <w:pStyle w:val="Odstavecseseznamem"/>
        <w:numPr>
          <w:ilvl w:val="0"/>
          <w:numId w:val="2"/>
        </w:numPr>
        <w:spacing w:after="200"/>
        <w:jc w:val="left"/>
      </w:pPr>
      <w:r w:rsidRPr="00047BC5">
        <w:t>druh dodaného vzorku</w:t>
      </w:r>
    </w:p>
    <w:p w:rsidR="00686686" w:rsidRDefault="00686686" w:rsidP="00FA0AF6">
      <w:pPr>
        <w:pStyle w:val="Odstavecseseznamem"/>
        <w:numPr>
          <w:ilvl w:val="0"/>
          <w:numId w:val="2"/>
        </w:numPr>
        <w:spacing w:after="200"/>
        <w:jc w:val="left"/>
      </w:pPr>
      <w:r w:rsidRPr="00047BC5">
        <w:t xml:space="preserve">u vzorku DNA typ primárního vzorku </w:t>
      </w:r>
      <w:r>
        <w:t xml:space="preserve">a </w:t>
      </w:r>
      <w:r w:rsidR="00983319">
        <w:t xml:space="preserve">případně </w:t>
      </w:r>
      <w:r w:rsidRPr="00047BC5">
        <w:t xml:space="preserve">datum a čas </w:t>
      </w:r>
      <w:r>
        <w:t xml:space="preserve">jeho </w:t>
      </w:r>
      <w:r w:rsidRPr="00047BC5">
        <w:t>odběru</w:t>
      </w:r>
    </w:p>
    <w:p w:rsidR="00686686" w:rsidRDefault="00686686" w:rsidP="00FA0AF6">
      <w:pPr>
        <w:pStyle w:val="Odstavecseseznamem"/>
        <w:numPr>
          <w:ilvl w:val="0"/>
          <w:numId w:val="2"/>
        </w:numPr>
        <w:spacing w:after="200"/>
        <w:jc w:val="left"/>
      </w:pPr>
      <w:r>
        <w:t>datum a čas příjmu vzorku (vyplní laboratoř)</w:t>
      </w:r>
    </w:p>
    <w:p w:rsidR="00686686" w:rsidRDefault="00686686" w:rsidP="00FA0AF6">
      <w:pPr>
        <w:pStyle w:val="Odstavecseseznamem"/>
        <w:numPr>
          <w:ilvl w:val="0"/>
          <w:numId w:val="2"/>
        </w:numPr>
        <w:spacing w:after="200"/>
        <w:jc w:val="left"/>
      </w:pPr>
      <w:r>
        <w:t>datum vystavení žádanky</w:t>
      </w:r>
    </w:p>
    <w:p w:rsidR="00686686" w:rsidRPr="00047BC5" w:rsidRDefault="00686686" w:rsidP="00FA0AF6">
      <w:pPr>
        <w:pStyle w:val="Odstavecseseznamem"/>
        <w:numPr>
          <w:ilvl w:val="0"/>
          <w:numId w:val="2"/>
        </w:numPr>
        <w:spacing w:after="200"/>
        <w:jc w:val="left"/>
      </w:pPr>
      <w:r>
        <w:t xml:space="preserve">jasné označení </w:t>
      </w:r>
      <w:proofErr w:type="spellStart"/>
      <w:r>
        <w:t>statimového</w:t>
      </w:r>
      <w:proofErr w:type="spellEnd"/>
      <w:r>
        <w:t xml:space="preserve"> vyšetření – „STATIM“ – jen po předchozí domluvě</w:t>
      </w:r>
    </w:p>
    <w:p w:rsidR="00686686" w:rsidRDefault="00686686">
      <w:pPr>
        <w:spacing w:after="160" w:line="259" w:lineRule="auto"/>
        <w:jc w:val="left"/>
        <w:rPr>
          <w:rFonts w:cs="Arial"/>
          <w:b/>
          <w:bCs/>
          <w:szCs w:val="26"/>
        </w:rPr>
      </w:pPr>
      <w:r>
        <w:br w:type="page"/>
      </w:r>
    </w:p>
    <w:p w:rsidR="00686686" w:rsidRPr="0037705C" w:rsidRDefault="00686686" w:rsidP="00052756">
      <w:pPr>
        <w:pStyle w:val="Nadpis3"/>
      </w:pPr>
      <w:bookmarkStart w:id="37" w:name="_Toc45707703"/>
      <w:r w:rsidRPr="0037705C">
        <w:lastRenderedPageBreak/>
        <w:t>Identifikační označení biologického materiálu:</w:t>
      </w:r>
      <w:bookmarkEnd w:id="37"/>
    </w:p>
    <w:p w:rsidR="00686686" w:rsidRPr="00047BC5" w:rsidRDefault="00686686" w:rsidP="00643FEB">
      <w:pPr>
        <w:ind w:left="578"/>
      </w:pPr>
      <w:r w:rsidRPr="00047BC5">
        <w:t xml:space="preserve">Každý biologický materiál </w:t>
      </w:r>
      <w:r>
        <w:t xml:space="preserve">(vzorek) </w:t>
      </w:r>
      <w:r w:rsidRPr="00047BC5">
        <w:t xml:space="preserve">musí být označen štítkem obsahujícím </w:t>
      </w:r>
      <w:r w:rsidRPr="00047BC5">
        <w:rPr>
          <w:b/>
          <w:u w:val="single"/>
        </w:rPr>
        <w:t>minimálně</w:t>
      </w:r>
      <w:r w:rsidRPr="00047BC5">
        <w:t>:</w:t>
      </w:r>
    </w:p>
    <w:p w:rsidR="00686686" w:rsidRPr="00047BC5" w:rsidRDefault="00686686" w:rsidP="00FA0AF6">
      <w:pPr>
        <w:pStyle w:val="Odstavecseseznamem"/>
        <w:numPr>
          <w:ilvl w:val="0"/>
          <w:numId w:val="5"/>
        </w:numPr>
        <w:spacing w:after="200"/>
        <w:jc w:val="left"/>
      </w:pPr>
      <w:r w:rsidRPr="00047BC5">
        <w:t>Jméno a příjmení pacienta</w:t>
      </w:r>
    </w:p>
    <w:p w:rsidR="00686686" w:rsidRPr="00047BC5" w:rsidRDefault="00686686" w:rsidP="00FA0AF6">
      <w:pPr>
        <w:pStyle w:val="Odstavecseseznamem"/>
        <w:numPr>
          <w:ilvl w:val="0"/>
          <w:numId w:val="5"/>
        </w:numPr>
        <w:spacing w:after="200"/>
        <w:jc w:val="left"/>
      </w:pPr>
      <w:r>
        <w:t>Číslo pojištěnce</w:t>
      </w:r>
      <w:r w:rsidRPr="00047BC5">
        <w:t xml:space="preserve"> </w:t>
      </w:r>
      <w:r>
        <w:t>(</w:t>
      </w:r>
      <w:r w:rsidRPr="00047BC5">
        <w:t>rodné číslo pacienta, případně datum</w:t>
      </w:r>
      <w:r w:rsidR="00366A01">
        <w:t xml:space="preserve">/rok </w:t>
      </w:r>
      <w:r w:rsidRPr="00047BC5">
        <w:t>narození)</w:t>
      </w:r>
    </w:p>
    <w:p w:rsidR="00686686" w:rsidRPr="00F15E31" w:rsidRDefault="00686686" w:rsidP="00F15E31">
      <w:pPr>
        <w:ind w:left="578"/>
      </w:pPr>
      <w:r w:rsidRPr="00047BC5">
        <w:t>Za jednoznačné označení žádanky a materiálu odpovídá žadatel o vyšetření</w:t>
      </w:r>
      <w:r>
        <w:t xml:space="preserve"> – indikující lékař</w:t>
      </w:r>
      <w:r w:rsidRPr="00047BC5">
        <w:t xml:space="preserve">. Vždy musí zajistit </w:t>
      </w:r>
      <w:r w:rsidRPr="00047BC5">
        <w:rPr>
          <w:b/>
        </w:rPr>
        <w:t>nezaměnitelnost materiálu a dokumentace</w:t>
      </w:r>
      <w:r w:rsidRPr="00047BC5">
        <w:t>.</w:t>
      </w:r>
      <w:r>
        <w:t xml:space="preserve"> </w:t>
      </w:r>
      <w:r w:rsidRPr="00F15E31">
        <w:t>Kontrolu údajů na žádance a vzorku provádí pověřený pracovník přejímající vzorek v laboratoři.</w:t>
      </w:r>
    </w:p>
    <w:p w:rsidR="00686686" w:rsidRPr="00047BC5" w:rsidRDefault="00686686" w:rsidP="00643FEB">
      <w:pPr>
        <w:ind w:left="578"/>
      </w:pPr>
    </w:p>
    <w:p w:rsidR="00686686" w:rsidRPr="00047BC5" w:rsidRDefault="00686686" w:rsidP="00052756">
      <w:pPr>
        <w:pStyle w:val="Nadpis3"/>
      </w:pPr>
      <w:bookmarkStart w:id="38" w:name="_Toc45707704"/>
      <w:r w:rsidRPr="00047BC5">
        <w:t>Urgentní vyšetření ve zrychleném režimu</w:t>
      </w:r>
      <w:bookmarkEnd w:id="38"/>
    </w:p>
    <w:p w:rsidR="00686686" w:rsidRDefault="00686686" w:rsidP="00052756">
      <w:pPr>
        <w:ind w:left="578"/>
      </w:pPr>
      <w:r>
        <w:t>L</w:t>
      </w:r>
      <w:r w:rsidRPr="00047BC5">
        <w:t xml:space="preserve">aboratoř standardně neprovádí STATIM vyšetření. Pokud je u konkrétního pacienta nutné provést vyšetření ve zrychleném režimu, je třeba toto oznámit předem telefonicky na </w:t>
      </w:r>
      <w:r>
        <w:t>čísle</w:t>
      </w:r>
      <w:r w:rsidRPr="00047BC5">
        <w:t xml:space="preserve"> 224 436 78</w:t>
      </w:r>
      <w:r>
        <w:t>8</w:t>
      </w:r>
      <w:r w:rsidRPr="00047BC5">
        <w:t xml:space="preserve"> a skutečnost označit i v</w:t>
      </w:r>
      <w:r>
        <w:t> </w:t>
      </w:r>
      <w:r w:rsidRPr="00047BC5">
        <w:t>žádance</w:t>
      </w:r>
      <w:r>
        <w:t xml:space="preserve"> (viz kolonka STATIM)</w:t>
      </w:r>
      <w:r w:rsidRPr="00047BC5">
        <w:t xml:space="preserve">. </w:t>
      </w:r>
    </w:p>
    <w:p w:rsidR="00686686" w:rsidRPr="00052756" w:rsidRDefault="00686686" w:rsidP="00052756">
      <w:pPr>
        <w:pStyle w:val="Nadpis3"/>
      </w:pPr>
      <w:bookmarkStart w:id="39" w:name="_Toc45707705"/>
      <w:r w:rsidRPr="00D12268">
        <w:t>Ústní a dodatečné požadavky na vyšetření</w:t>
      </w:r>
      <w:bookmarkEnd w:id="39"/>
    </w:p>
    <w:p w:rsidR="00686686" w:rsidRPr="00052756" w:rsidRDefault="00686686" w:rsidP="00810F57">
      <w:pPr>
        <w:ind w:left="578"/>
      </w:pPr>
      <w:r w:rsidRPr="005F6066">
        <w:t>Laboratoř může přijmout ústní (telefonický) požadavek na vyšetření v</w:t>
      </w:r>
      <w:r>
        <w:t xml:space="preserve"> případě, že byl do laboratoře </w:t>
      </w:r>
      <w:r w:rsidRPr="005F6066">
        <w:t>doručen materiál a žádanka daného pacienta, laboratoř má archivován dostatek materiálu a umožňuje</w:t>
      </w:r>
      <w:r>
        <w:t>-</w:t>
      </w:r>
      <w:r w:rsidRPr="005F6066">
        <w:t>li to povaha požadovaného vyšetření (stabilita). Požadavek je přijímán od lékaře, nikoli od pacientů.</w:t>
      </w:r>
    </w:p>
    <w:p w:rsidR="00686686" w:rsidRPr="00052756" w:rsidRDefault="00686686" w:rsidP="00052756">
      <w:pPr>
        <w:pStyle w:val="Nadpis3"/>
      </w:pPr>
      <w:bookmarkStart w:id="40" w:name="_Toc45707706"/>
      <w:r w:rsidRPr="00235EE2">
        <w:t>Informovaný souhlas pacienta</w:t>
      </w:r>
      <w:bookmarkEnd w:id="40"/>
    </w:p>
    <w:p w:rsidR="00686686" w:rsidRDefault="00686686" w:rsidP="00052756">
      <w:pPr>
        <w:pStyle w:val="Odstavecseseznamem"/>
        <w:ind w:left="578"/>
      </w:pPr>
      <w:r w:rsidRPr="00325012">
        <w:rPr>
          <w:szCs w:val="22"/>
        </w:rPr>
        <w:t>Před každým genetickým vyšetřením musí být pacient lékařem (žadatelem) seznámen s</w:t>
      </w:r>
      <w:r>
        <w:rPr>
          <w:szCs w:val="22"/>
        </w:rPr>
        <w:t> důvodem vyšetření a uvést očekávaný přínos vyšetření</w:t>
      </w:r>
      <w:r w:rsidRPr="00325012">
        <w:rPr>
          <w:szCs w:val="22"/>
        </w:rPr>
        <w:t>. Svým podpisem Informov</w:t>
      </w:r>
      <w:r>
        <w:rPr>
          <w:szCs w:val="22"/>
        </w:rPr>
        <w:t>a</w:t>
      </w:r>
      <w:r w:rsidRPr="00325012">
        <w:rPr>
          <w:szCs w:val="22"/>
        </w:rPr>
        <w:t xml:space="preserve">ného souhlasu </w:t>
      </w:r>
      <w:r>
        <w:rPr>
          <w:szCs w:val="22"/>
        </w:rPr>
        <w:t xml:space="preserve">pacienta/zákonného zástupce </w:t>
      </w:r>
      <w:r w:rsidRPr="00325012">
        <w:rPr>
          <w:szCs w:val="22"/>
        </w:rPr>
        <w:t>pak stvrzuje, že souhlasí s</w:t>
      </w:r>
      <w:r>
        <w:t xml:space="preserve"> </w:t>
      </w:r>
      <w:r w:rsidRPr="00325012">
        <w:rPr>
          <w:szCs w:val="22"/>
        </w:rPr>
        <w:t>odběrem a provedením indikovaného genetického</w:t>
      </w:r>
      <w:r>
        <w:t xml:space="preserve"> </w:t>
      </w:r>
      <w:r w:rsidRPr="00325012">
        <w:rPr>
          <w:szCs w:val="22"/>
        </w:rPr>
        <w:t>vyšetření.</w:t>
      </w:r>
      <w:r>
        <w:t xml:space="preserve"> </w:t>
      </w:r>
    </w:p>
    <w:p w:rsidR="00686686" w:rsidRDefault="00686686" w:rsidP="00383D13">
      <w:pPr>
        <w:ind w:left="567"/>
        <w:rPr>
          <w:szCs w:val="22"/>
        </w:rPr>
      </w:pPr>
      <w:r>
        <w:rPr>
          <w:szCs w:val="22"/>
        </w:rPr>
        <w:t>F</w:t>
      </w:r>
      <w:r w:rsidRPr="00F87820">
        <w:rPr>
          <w:szCs w:val="22"/>
        </w:rPr>
        <w:t>ormy odebírání informovaného souhlasu upravuje Organizační směrnice</w:t>
      </w:r>
      <w:r>
        <w:rPr>
          <w:szCs w:val="22"/>
        </w:rPr>
        <w:t xml:space="preserve"> </w:t>
      </w:r>
      <w:r w:rsidRPr="00F87820">
        <w:rPr>
          <w:szCs w:val="22"/>
        </w:rPr>
        <w:t xml:space="preserve">FN </w:t>
      </w:r>
      <w:r w:rsidRPr="00366A01">
        <w:rPr>
          <w:szCs w:val="22"/>
        </w:rPr>
        <w:t xml:space="preserve">Motol </w:t>
      </w:r>
      <w:r w:rsidR="00366A01" w:rsidRPr="00366A01">
        <w:rPr>
          <w:i/>
          <w:color w:val="000000"/>
          <w:szCs w:val="22"/>
        </w:rPr>
        <w:t>IOS_10/2005-7_I</w:t>
      </w:r>
      <w:r w:rsidRPr="00366A01">
        <w:rPr>
          <w:i/>
          <w:szCs w:val="22"/>
        </w:rPr>
        <w:t>nformovaný souhlas pacienta.</w:t>
      </w:r>
      <w:r w:rsidRPr="00F87820">
        <w:rPr>
          <w:szCs w:val="22"/>
        </w:rPr>
        <w:t xml:space="preserve"> </w:t>
      </w:r>
      <w:r>
        <w:rPr>
          <w:szCs w:val="22"/>
        </w:rPr>
        <w:t>Informovaný</w:t>
      </w:r>
      <w:r w:rsidRPr="00F87820">
        <w:rPr>
          <w:szCs w:val="22"/>
        </w:rPr>
        <w:t xml:space="preserve"> </w:t>
      </w:r>
      <w:r>
        <w:rPr>
          <w:szCs w:val="22"/>
        </w:rPr>
        <w:t>souhlas laboratoře (</w:t>
      </w:r>
      <w:r w:rsidRPr="009F3D01">
        <w:rPr>
          <w:i/>
          <w:szCs w:val="22"/>
        </w:rPr>
        <w:t>Informovaný souhlas pacienta s</w:t>
      </w:r>
      <w:r>
        <w:rPr>
          <w:i/>
          <w:szCs w:val="22"/>
        </w:rPr>
        <w:t> </w:t>
      </w:r>
      <w:r w:rsidRPr="009F3D01">
        <w:rPr>
          <w:i/>
          <w:szCs w:val="22"/>
        </w:rPr>
        <w:t>genetickým</w:t>
      </w:r>
      <w:r>
        <w:rPr>
          <w:i/>
          <w:szCs w:val="22"/>
        </w:rPr>
        <w:t xml:space="preserve"> laboratorním</w:t>
      </w:r>
      <w:r w:rsidRPr="009F3D01">
        <w:rPr>
          <w:i/>
          <w:szCs w:val="22"/>
        </w:rPr>
        <w:t xml:space="preserve"> vyšetřením</w:t>
      </w:r>
      <w:r>
        <w:rPr>
          <w:szCs w:val="22"/>
        </w:rPr>
        <w:t>) splňuje</w:t>
      </w:r>
      <w:r w:rsidRPr="00F87820">
        <w:rPr>
          <w:szCs w:val="22"/>
        </w:rPr>
        <w:t xml:space="preserve"> požadavky této</w:t>
      </w:r>
      <w:r>
        <w:rPr>
          <w:szCs w:val="22"/>
        </w:rPr>
        <w:t xml:space="preserve"> </w:t>
      </w:r>
      <w:r w:rsidRPr="00F87820">
        <w:rPr>
          <w:szCs w:val="22"/>
        </w:rPr>
        <w:t>směrnice.</w:t>
      </w:r>
      <w:r>
        <w:rPr>
          <w:szCs w:val="22"/>
        </w:rPr>
        <w:t xml:space="preserve"> </w:t>
      </w:r>
    </w:p>
    <w:p w:rsidR="00686686" w:rsidRPr="00052756" w:rsidRDefault="00686686" w:rsidP="003E0E03">
      <w:pPr>
        <w:pStyle w:val="Odstavecseseznamem"/>
        <w:ind w:left="578"/>
      </w:pPr>
      <w:r w:rsidRPr="00F87820">
        <w:rPr>
          <w:szCs w:val="22"/>
        </w:rPr>
        <w:t>K</w:t>
      </w:r>
      <w:r>
        <w:rPr>
          <w:szCs w:val="22"/>
        </w:rPr>
        <w:t xml:space="preserve"> </w:t>
      </w:r>
      <w:r w:rsidRPr="00F87820">
        <w:rPr>
          <w:szCs w:val="22"/>
        </w:rPr>
        <w:t>odebírání informovaného souh</w:t>
      </w:r>
      <w:r>
        <w:rPr>
          <w:szCs w:val="22"/>
        </w:rPr>
        <w:t>lasu se používají</w:t>
      </w:r>
      <w:r w:rsidRPr="00F87820">
        <w:rPr>
          <w:szCs w:val="22"/>
        </w:rPr>
        <w:t xml:space="preserve"> pouze schválen</w:t>
      </w:r>
      <w:r>
        <w:rPr>
          <w:szCs w:val="22"/>
        </w:rPr>
        <w:t>é</w:t>
      </w:r>
      <w:r w:rsidRPr="00F87820">
        <w:rPr>
          <w:szCs w:val="22"/>
        </w:rPr>
        <w:t xml:space="preserve"> informovan</w:t>
      </w:r>
      <w:r>
        <w:rPr>
          <w:szCs w:val="22"/>
        </w:rPr>
        <w:t>é</w:t>
      </w:r>
      <w:r w:rsidRPr="00F87820">
        <w:rPr>
          <w:szCs w:val="22"/>
        </w:rPr>
        <w:t xml:space="preserve"> souhlas</w:t>
      </w:r>
      <w:r>
        <w:rPr>
          <w:szCs w:val="22"/>
        </w:rPr>
        <w:t xml:space="preserve">y </w:t>
      </w:r>
      <w:r w:rsidRPr="00F87820">
        <w:rPr>
          <w:szCs w:val="22"/>
        </w:rPr>
        <w:t>FN Motol, které jsou vedené v</w:t>
      </w:r>
      <w:r>
        <w:rPr>
          <w:szCs w:val="22"/>
        </w:rPr>
        <w:t xml:space="preserve"> </w:t>
      </w:r>
      <w:r w:rsidRPr="00F87820">
        <w:rPr>
          <w:szCs w:val="22"/>
        </w:rPr>
        <w:t xml:space="preserve">Katalogu informovaných souhlasů </w:t>
      </w:r>
      <w:r>
        <w:rPr>
          <w:szCs w:val="22"/>
        </w:rPr>
        <w:t>odboru Náměstka pro léčebné preventivní péči</w:t>
      </w:r>
      <w:r w:rsidRPr="00F87820">
        <w:rPr>
          <w:szCs w:val="22"/>
        </w:rPr>
        <w:t xml:space="preserve"> FN Motol na intranetu FN Motol.</w:t>
      </w:r>
      <w:r>
        <w:rPr>
          <w:szCs w:val="22"/>
        </w:rPr>
        <w:t xml:space="preserve"> </w:t>
      </w:r>
      <w:r>
        <w:t>Formulář informovaného souhlasu je pro externí žadatele služeb též na</w:t>
      </w:r>
      <w:bookmarkStart w:id="41" w:name="_Toc45707707"/>
      <w:r w:rsidR="003E0E03">
        <w:t xml:space="preserve"> webových stránkách laboratoře</w:t>
      </w:r>
      <w:r w:rsidR="00ED7A57">
        <w:t xml:space="preserve"> </w:t>
      </w:r>
      <w:hyperlink r:id="rId17" w:history="1">
        <w:r w:rsidR="00ED7A57" w:rsidRPr="00ED7A57">
          <w:rPr>
            <w:rStyle w:val="Hypertextovodkaz"/>
          </w:rPr>
          <w:t>https://www.fnmotol.cz/neurogeneticka-laborator/</w:t>
        </w:r>
      </w:hyperlink>
      <w:r w:rsidR="00ED7A57">
        <w:t xml:space="preserve">. </w:t>
      </w:r>
      <w:r w:rsidRPr="00047BC5">
        <w:t>Příjem vzork</w:t>
      </w:r>
      <w:r>
        <w:t>u</w:t>
      </w:r>
      <w:bookmarkEnd w:id="41"/>
    </w:p>
    <w:p w:rsidR="00686686" w:rsidRPr="00047BC5" w:rsidRDefault="00686686" w:rsidP="00A24036">
      <w:pPr>
        <w:ind w:left="578"/>
      </w:pPr>
      <w:r w:rsidRPr="00047BC5">
        <w:t>Vzorky se žádankami určené</w:t>
      </w:r>
      <w:r>
        <w:t xml:space="preserve"> ke genetickému vyšetření v </w:t>
      </w:r>
      <w:r w:rsidRPr="00047BC5">
        <w:t>laboratoři jsou předávány:</w:t>
      </w:r>
    </w:p>
    <w:p w:rsidR="00686686" w:rsidRDefault="00686686" w:rsidP="00A24036">
      <w:pPr>
        <w:pStyle w:val="Odstavecseseznamem"/>
        <w:numPr>
          <w:ilvl w:val="0"/>
          <w:numId w:val="3"/>
        </w:numPr>
        <w:spacing w:after="200"/>
      </w:pPr>
      <w:r>
        <w:t>o</w:t>
      </w:r>
      <w:r w:rsidRPr="00047BC5">
        <w:t>sobně</w:t>
      </w:r>
      <w:r>
        <w:t xml:space="preserve"> </w:t>
      </w:r>
      <w:r w:rsidRPr="00047BC5">
        <w:t>kterémuko</w:t>
      </w:r>
      <w:r>
        <w:t>liv pracovníkovi laboratoře v rámci FN Motol v provozní době laboratoře</w:t>
      </w:r>
    </w:p>
    <w:p w:rsidR="00686686" w:rsidRPr="00047BC5" w:rsidRDefault="00686686" w:rsidP="00A24036">
      <w:pPr>
        <w:pStyle w:val="Odstavecseseznamem"/>
        <w:numPr>
          <w:ilvl w:val="0"/>
          <w:numId w:val="3"/>
        </w:numPr>
        <w:spacing w:after="200"/>
      </w:pPr>
      <w:r>
        <w:lastRenderedPageBreak/>
        <w:t>svozem</w:t>
      </w:r>
      <w:r w:rsidRPr="00047BC5">
        <w:t xml:space="preserve"> </w:t>
      </w:r>
      <w:r>
        <w:t>z jiných pracovišť do laboratoře</w:t>
      </w:r>
      <w:r w:rsidRPr="00047BC5">
        <w:t xml:space="preserve"> kterémuko</w:t>
      </w:r>
      <w:r>
        <w:t>liv pracovníkovi laboratoře v provozní době laboratoře</w:t>
      </w:r>
    </w:p>
    <w:p w:rsidR="00686686" w:rsidRDefault="00686686" w:rsidP="008F6269">
      <w:pPr>
        <w:pStyle w:val="Odstavecseseznamem"/>
        <w:numPr>
          <w:ilvl w:val="0"/>
          <w:numId w:val="3"/>
        </w:numPr>
        <w:spacing w:after="200"/>
        <w:ind w:left="709"/>
      </w:pPr>
      <w:r>
        <w:t>p</w:t>
      </w:r>
      <w:r w:rsidRPr="00047BC5">
        <w:t>oštou</w:t>
      </w:r>
      <w:r>
        <w:t xml:space="preserve"> na adresu laboratoře</w:t>
      </w:r>
    </w:p>
    <w:p w:rsidR="00686686" w:rsidRDefault="00686686" w:rsidP="009F3D01">
      <w:pPr>
        <w:pStyle w:val="Odstavecseseznamem"/>
        <w:spacing w:after="200"/>
        <w:ind w:left="578"/>
      </w:pPr>
    </w:p>
    <w:p w:rsidR="00686686" w:rsidRDefault="00686686" w:rsidP="009F3D01">
      <w:pPr>
        <w:pStyle w:val="Odstavecseseznamem"/>
        <w:spacing w:after="200"/>
        <w:ind w:left="578"/>
      </w:pPr>
      <w:r w:rsidRPr="00047BC5">
        <w:t xml:space="preserve">Po </w:t>
      </w:r>
      <w:r>
        <w:t xml:space="preserve">převzetí vzorku pracovníkem </w:t>
      </w:r>
      <w:r w:rsidRPr="00047BC5">
        <w:t xml:space="preserve">laboratoře je zkontrolována správnost </w:t>
      </w:r>
      <w:r>
        <w:t xml:space="preserve">a úplnost </w:t>
      </w:r>
      <w:r w:rsidRPr="00047BC5">
        <w:t>údajů uvedených na vzorku a žádance a vizuálně zkontrolována nepoškozenost a čistota dodaného vzorku</w:t>
      </w:r>
      <w:r>
        <w:t xml:space="preserve"> a žádanky</w:t>
      </w:r>
      <w:r w:rsidRPr="00047BC5">
        <w:t xml:space="preserve">. </w:t>
      </w:r>
    </w:p>
    <w:p w:rsidR="00686686" w:rsidRPr="00166865" w:rsidRDefault="00686686" w:rsidP="009D73AF">
      <w:pPr>
        <w:pStyle w:val="Nadpis1"/>
      </w:pPr>
      <w:bookmarkStart w:id="42" w:name="_Toc45707708"/>
      <w:r w:rsidRPr="00166865">
        <w:t>Postup pro vzorky pocházející z ostatních pracovišť FN Motol</w:t>
      </w:r>
      <w:bookmarkEnd w:id="42"/>
    </w:p>
    <w:p w:rsidR="00686686" w:rsidRDefault="00686686" w:rsidP="00A406FC">
      <w:r w:rsidRPr="00166865">
        <w:t>Pokud požaduje pracoviště FN Motol laboratorně genetické vyšetření v laboratoři, probíhá izolace DNA pro další vyšetření na pracovišti ÚBLG 2. LF UK a FN Motol. Takto izolovaná DNA je potom osobně, či svozem předána kterémukoliv pracovníkovi laboratoře.</w:t>
      </w:r>
    </w:p>
    <w:p w:rsidR="00686686" w:rsidRDefault="00686686" w:rsidP="00052756">
      <w:pPr>
        <w:pStyle w:val="Nadpis1"/>
      </w:pPr>
      <w:r>
        <w:t xml:space="preserve"> </w:t>
      </w:r>
      <w:bookmarkStart w:id="43" w:name="_Toc45707709"/>
      <w:proofErr w:type="spellStart"/>
      <w:r>
        <w:t>Preanalytická</w:t>
      </w:r>
      <w:proofErr w:type="spellEnd"/>
      <w:r>
        <w:t xml:space="preserve"> fáze</w:t>
      </w:r>
      <w:bookmarkEnd w:id="43"/>
    </w:p>
    <w:p w:rsidR="00686686" w:rsidRPr="00052756" w:rsidRDefault="00686686" w:rsidP="00052756">
      <w:pPr>
        <w:pStyle w:val="Nadpis2"/>
      </w:pPr>
      <w:bookmarkStart w:id="44" w:name="_Toc45707710"/>
      <w:r w:rsidRPr="00047BC5">
        <w:t>Kritéria pro přijetí vzorku</w:t>
      </w:r>
      <w:bookmarkEnd w:id="44"/>
    </w:p>
    <w:p w:rsidR="00686686" w:rsidRPr="00047BC5" w:rsidRDefault="00686686" w:rsidP="00A24036">
      <w:pPr>
        <w:ind w:left="578"/>
      </w:pPr>
      <w:r w:rsidRPr="00047BC5">
        <w:t xml:space="preserve">Přijaty ke zpracování budou jen vzorky: </w:t>
      </w:r>
    </w:p>
    <w:p w:rsidR="00686686" w:rsidRPr="00047BC5" w:rsidRDefault="00686686" w:rsidP="00A24036">
      <w:pPr>
        <w:pStyle w:val="Odstavecseseznamem"/>
        <w:numPr>
          <w:ilvl w:val="0"/>
          <w:numId w:val="10"/>
        </w:numPr>
      </w:pPr>
      <w:r w:rsidRPr="00047BC5">
        <w:t xml:space="preserve">odebrané </w:t>
      </w:r>
      <w:r>
        <w:t>do vhodného odběrového systému</w:t>
      </w:r>
    </w:p>
    <w:p w:rsidR="00686686" w:rsidRPr="00047BC5" w:rsidRDefault="00686686" w:rsidP="00A24036">
      <w:pPr>
        <w:pStyle w:val="Odstavecseseznamem"/>
        <w:numPr>
          <w:ilvl w:val="0"/>
          <w:numId w:val="10"/>
        </w:numPr>
      </w:pPr>
      <w:r>
        <w:t>viditelně nepoškozené a odebrané do čisté odběrové nádoby</w:t>
      </w:r>
    </w:p>
    <w:p w:rsidR="00686686" w:rsidRDefault="00686686" w:rsidP="000C1588">
      <w:pPr>
        <w:pStyle w:val="Odstavecseseznamem"/>
        <w:numPr>
          <w:ilvl w:val="0"/>
          <w:numId w:val="10"/>
        </w:numPr>
      </w:pPr>
      <w:r w:rsidRPr="00047BC5">
        <w:t xml:space="preserve">vzorky dodané v dostatečném množství pro provedení vyšetření </w:t>
      </w:r>
    </w:p>
    <w:p w:rsidR="00686686" w:rsidRPr="00047BC5" w:rsidRDefault="00686686" w:rsidP="000C1588">
      <w:pPr>
        <w:pStyle w:val="Odstavecseseznamem"/>
        <w:numPr>
          <w:ilvl w:val="0"/>
          <w:numId w:val="10"/>
        </w:numPr>
      </w:pPr>
      <w:r>
        <w:t xml:space="preserve">řádně označené vzorky, tzn. jednoznačně identifikovatelné, označené jménem, příjmením a </w:t>
      </w:r>
      <w:r w:rsidRPr="00047BC5">
        <w:t>čísl</w:t>
      </w:r>
      <w:r>
        <w:t>em</w:t>
      </w:r>
      <w:r w:rsidRPr="00047BC5">
        <w:t xml:space="preserve"> pojištěnce (rodné číslo, </w:t>
      </w:r>
      <w:r>
        <w:t>popřípadě</w:t>
      </w:r>
      <w:r w:rsidRPr="00047BC5">
        <w:t xml:space="preserve"> datum narození</w:t>
      </w:r>
      <w:r>
        <w:t xml:space="preserve"> pacienta), shodující se s údaji na žádance</w:t>
      </w:r>
    </w:p>
    <w:p w:rsidR="00686686" w:rsidRPr="00052756" w:rsidRDefault="00686686" w:rsidP="00052756">
      <w:pPr>
        <w:pStyle w:val="Nadpis2"/>
      </w:pPr>
      <w:bookmarkStart w:id="45" w:name="_Toc45707711"/>
      <w:r w:rsidRPr="00047BC5">
        <w:t>Kritéria pro odmítnutí vzorku</w:t>
      </w:r>
      <w:bookmarkEnd w:id="45"/>
    </w:p>
    <w:p w:rsidR="00686686" w:rsidRPr="00047BC5" w:rsidRDefault="00686686" w:rsidP="00A24036">
      <w:pPr>
        <w:ind w:left="578"/>
      </w:pPr>
      <w:r w:rsidRPr="00047BC5">
        <w:t>La</w:t>
      </w:r>
      <w:r>
        <w:t>boratoř může odmítnout přijmout</w:t>
      </w:r>
      <w:r w:rsidRPr="00047BC5">
        <w:t xml:space="preserve">: </w:t>
      </w:r>
    </w:p>
    <w:p w:rsidR="00686686" w:rsidRPr="00047BC5" w:rsidRDefault="00686686" w:rsidP="00A24036">
      <w:pPr>
        <w:pStyle w:val="Odstavecseseznamem"/>
        <w:numPr>
          <w:ilvl w:val="0"/>
          <w:numId w:val="9"/>
        </w:numPr>
        <w:ind w:left="1293" w:hanging="357"/>
      </w:pPr>
      <w:r w:rsidRPr="00047BC5">
        <w:t xml:space="preserve">neoznačenou </w:t>
      </w:r>
      <w:r>
        <w:t xml:space="preserve">odběrovou </w:t>
      </w:r>
      <w:r w:rsidRPr="00047BC5">
        <w:t xml:space="preserve">nádobu s biologickým materiálem (chybí údaje na štítku vzorku) </w:t>
      </w:r>
    </w:p>
    <w:p w:rsidR="00686686" w:rsidRPr="00047BC5" w:rsidRDefault="00686686" w:rsidP="00A24036">
      <w:pPr>
        <w:pStyle w:val="Odstavecseseznamem"/>
        <w:numPr>
          <w:ilvl w:val="0"/>
          <w:numId w:val="9"/>
        </w:numPr>
        <w:ind w:left="1293" w:hanging="357"/>
      </w:pPr>
      <w:r w:rsidRPr="00047BC5">
        <w:t>žádanku s biologickým materiálem, kde chybí nebo jsou nečitelné základní údaje</w:t>
      </w:r>
    </w:p>
    <w:p w:rsidR="00686686" w:rsidRPr="00047BC5" w:rsidRDefault="00686686" w:rsidP="00A24036">
      <w:pPr>
        <w:pStyle w:val="Odstavecseseznamem"/>
        <w:numPr>
          <w:ilvl w:val="0"/>
          <w:numId w:val="9"/>
        </w:numPr>
        <w:ind w:left="1293" w:hanging="357"/>
      </w:pPr>
      <w:r w:rsidRPr="00047BC5">
        <w:t xml:space="preserve">žádanku, která obsahuje požadavek na vyšetření, které laboratoř neprovádí ani nezajišťuje </w:t>
      </w:r>
    </w:p>
    <w:p w:rsidR="00686686" w:rsidRPr="00047BC5" w:rsidRDefault="00686686" w:rsidP="00A24036">
      <w:pPr>
        <w:pStyle w:val="Odstavecseseznamem"/>
        <w:numPr>
          <w:ilvl w:val="0"/>
          <w:numId w:val="9"/>
        </w:numPr>
        <w:ind w:left="1293" w:hanging="357"/>
      </w:pPr>
      <w:r w:rsidRPr="00047BC5">
        <w:t xml:space="preserve">žádanku nebo odběrovou nádobu znečištěnou biologickým materiálem </w:t>
      </w:r>
    </w:p>
    <w:p w:rsidR="00686686" w:rsidRPr="00047BC5" w:rsidRDefault="00686686" w:rsidP="00A24036">
      <w:pPr>
        <w:pStyle w:val="Odstavecseseznamem"/>
        <w:numPr>
          <w:ilvl w:val="0"/>
          <w:numId w:val="9"/>
        </w:numPr>
        <w:ind w:left="1293" w:hanging="357"/>
      </w:pPr>
      <w:r w:rsidRPr="00047BC5">
        <w:t xml:space="preserve">odběrovou nádobu s biologickým materiálem, kde zjevně došlo k porušení </w:t>
      </w:r>
    </w:p>
    <w:p w:rsidR="00686686" w:rsidRPr="00047BC5" w:rsidRDefault="00686686" w:rsidP="00A24036">
      <w:pPr>
        <w:pStyle w:val="Odstavecseseznamem"/>
        <w:numPr>
          <w:ilvl w:val="0"/>
          <w:numId w:val="9"/>
        </w:numPr>
        <w:ind w:left="1293" w:hanging="357"/>
      </w:pPr>
      <w:r w:rsidRPr="00047BC5">
        <w:t>biologický materiál bez žádanky</w:t>
      </w:r>
    </w:p>
    <w:p w:rsidR="00686686" w:rsidRPr="00047BC5" w:rsidRDefault="00686686" w:rsidP="00A24036">
      <w:pPr>
        <w:ind w:left="578"/>
        <w:rPr>
          <w:b/>
        </w:rPr>
      </w:pPr>
      <w:r w:rsidRPr="00047BC5">
        <w:lastRenderedPageBreak/>
        <w:t>Pracovník příjmu vzorků vždy informuje odesílající pracoviště o důvodu odmítnutí vzorku, a to bezprostředně po dodání vzorku a zjištění důvodu odmítnutí vzorku</w:t>
      </w:r>
      <w:r>
        <w:t xml:space="preserve">. </w:t>
      </w:r>
      <w:r w:rsidRPr="00BF6F47">
        <w:t xml:space="preserve">Neshoda je zapsána do </w:t>
      </w:r>
      <w:r w:rsidRPr="00BF6F47">
        <w:rPr>
          <w:i/>
        </w:rPr>
        <w:t>Knihy neshod při příjmu vzorků.</w:t>
      </w:r>
    </w:p>
    <w:p w:rsidR="00686686" w:rsidRPr="00052756" w:rsidRDefault="00686686" w:rsidP="00052756">
      <w:pPr>
        <w:pStyle w:val="Nadpis2"/>
      </w:pPr>
      <w:bookmarkStart w:id="46" w:name="_Toc45707712"/>
      <w:r w:rsidRPr="00047BC5">
        <w:t>Postup při chybné či neúplné identifikaci vzorku nebo při poškození dodaného vzorku</w:t>
      </w:r>
      <w:bookmarkEnd w:id="46"/>
    </w:p>
    <w:p w:rsidR="00686686" w:rsidRPr="00047BC5" w:rsidRDefault="00686686" w:rsidP="00643FEB">
      <w:pPr>
        <w:ind w:left="578"/>
      </w:pPr>
      <w:r w:rsidRPr="00047BC5">
        <w:t xml:space="preserve">Při zjištění jakékoliv neshody na žádance nebo na vzorku s biologickým materiálem (chybné nebo neúplné jméno, příjmení, </w:t>
      </w:r>
      <w:r>
        <w:t xml:space="preserve">číslo pojištěnce </w:t>
      </w:r>
      <w:r w:rsidRPr="00047BC5">
        <w:t xml:space="preserve">pacienta) je neprodleně kontaktováno odesílající pracoviště a je s ním sjednána adekvátní náprava. </w:t>
      </w:r>
    </w:p>
    <w:p w:rsidR="00686686" w:rsidRPr="00047BC5" w:rsidRDefault="00686686" w:rsidP="00A24036">
      <w:pPr>
        <w:pStyle w:val="Odstavecseseznamem"/>
        <w:numPr>
          <w:ilvl w:val="0"/>
          <w:numId w:val="4"/>
        </w:numPr>
        <w:ind w:left="1293" w:hanging="357"/>
      </w:pPr>
      <w:r w:rsidRPr="00047BC5">
        <w:t xml:space="preserve">Je-li uvedeno na žádance chybné </w:t>
      </w:r>
      <w:r>
        <w:t>číslo pojištěnce, pacienta</w:t>
      </w:r>
      <w:r w:rsidRPr="00047BC5">
        <w:t xml:space="preserve"> nebo pojišťovna, telefonicky se ověří správnost uvedených údajů. </w:t>
      </w:r>
    </w:p>
    <w:p w:rsidR="00686686" w:rsidRPr="00047BC5" w:rsidRDefault="00686686" w:rsidP="00A24036">
      <w:pPr>
        <w:pStyle w:val="Odstavecseseznamem"/>
        <w:numPr>
          <w:ilvl w:val="0"/>
          <w:numId w:val="4"/>
        </w:numPr>
        <w:ind w:left="1293" w:hanging="357"/>
        <w:rPr>
          <w:b/>
        </w:rPr>
      </w:pPr>
      <w:r w:rsidRPr="00047BC5">
        <w:t>Je-li na žádance chybně uvedeno jméno pacienta, je odesílající pracoviště telefonicky upozorněno a je vyžádána nová žádanka</w:t>
      </w:r>
      <w:r w:rsidR="00A406FC">
        <w:t xml:space="preserve"> nebo je sjednána náprava</w:t>
      </w:r>
      <w:r w:rsidRPr="00047BC5">
        <w:t xml:space="preserve">. </w:t>
      </w:r>
    </w:p>
    <w:p w:rsidR="00686686" w:rsidRPr="00BF6CEF" w:rsidRDefault="00686686" w:rsidP="00A24036">
      <w:pPr>
        <w:pStyle w:val="Odstavecseseznamem"/>
        <w:numPr>
          <w:ilvl w:val="0"/>
          <w:numId w:val="4"/>
        </w:numPr>
        <w:ind w:left="1293" w:hanging="357"/>
        <w:rPr>
          <w:b/>
        </w:rPr>
      </w:pPr>
      <w:r w:rsidRPr="00047BC5">
        <w:t xml:space="preserve">Pokud je zjištěno, že se jedná o chybnou identifikaci vzorku (k žádance byl dodán vzorek jiného pacienta, tj. nesouhlasí údaje uvedené na štítku vzorku s žádankou), či označení vzorku na štítku úplně chybí, je vzorek vždy odmítnut. Pracovník příjmu vzorků neprodleně telefonicky oznámí odesílajícímu pracovišti tuto skutečnost a zároveň vyžádá nový odběr. </w:t>
      </w:r>
    </w:p>
    <w:p w:rsidR="00686686" w:rsidRPr="00BF6CEF" w:rsidRDefault="00686686" w:rsidP="00A24036">
      <w:pPr>
        <w:pStyle w:val="Odstavecseseznamem"/>
        <w:numPr>
          <w:ilvl w:val="0"/>
          <w:numId w:val="4"/>
        </w:numPr>
        <w:ind w:left="1293" w:hanging="357"/>
        <w:rPr>
          <w:b/>
        </w:rPr>
      </w:pPr>
      <w:r w:rsidRPr="00BF6CEF">
        <w:t xml:space="preserve">Při neúplné identifikaci pacienta (např. neúplné </w:t>
      </w:r>
      <w:r>
        <w:t xml:space="preserve">číslo pojištěnce </w:t>
      </w:r>
      <w:r w:rsidRPr="00BF6CEF">
        <w:t xml:space="preserve">nebo neúplné datum narození) na vzorku se materiál přijme a je telefonicky vyžádána doplňující informace. </w:t>
      </w:r>
    </w:p>
    <w:p w:rsidR="00686686" w:rsidRPr="00BF6CEF" w:rsidRDefault="00686686" w:rsidP="00A24036">
      <w:pPr>
        <w:pStyle w:val="Odstavecseseznamem"/>
        <w:numPr>
          <w:ilvl w:val="0"/>
          <w:numId w:val="4"/>
        </w:numPr>
        <w:ind w:left="1293" w:hanging="357"/>
        <w:rPr>
          <w:b/>
        </w:rPr>
      </w:pPr>
      <w:r w:rsidRPr="00047BC5">
        <w:t>Při zjištění poškození dodaného vzorku nebo zjištění jiných skutečností v rozporu s pravi</w:t>
      </w:r>
      <w:r>
        <w:t>dly laboratoře pro příjem vzorku</w:t>
      </w:r>
      <w:r w:rsidRPr="00047BC5">
        <w:t xml:space="preserve">, je vzorek i se žádankou vždy odmítnut. </w:t>
      </w:r>
    </w:p>
    <w:p w:rsidR="00686686" w:rsidRDefault="00686686" w:rsidP="001E6791">
      <w:pPr>
        <w:ind w:left="576"/>
      </w:pPr>
      <w:r w:rsidRPr="00BF6F47">
        <w:t xml:space="preserve">Každá zjištěná neshoda je zapsána do </w:t>
      </w:r>
      <w:r w:rsidRPr="00BF6F47">
        <w:rPr>
          <w:i/>
        </w:rPr>
        <w:t>Knihy neshod při příjmu vzorků</w:t>
      </w:r>
      <w:r w:rsidRPr="00BF6F47">
        <w:t xml:space="preserve"> s uvedením data, jména pracovníka, identifikace pacienta, důvodu zápisu a komu byla neshoda hlášena. Laboratoř</w:t>
      </w:r>
      <w:r w:rsidRPr="006165AC">
        <w:t xml:space="preserve"> </w:t>
      </w:r>
      <w:r w:rsidRPr="006150E5">
        <w:t>nevrací</w:t>
      </w:r>
      <w:r w:rsidRPr="006165AC">
        <w:t xml:space="preserve"> neoznačené či jinak neshodné vzorky zpět na odebírající zdravotnické pracoviště.</w:t>
      </w:r>
    </w:p>
    <w:p w:rsidR="00686686" w:rsidRPr="00052756" w:rsidRDefault="00686686" w:rsidP="00052756">
      <w:pPr>
        <w:pStyle w:val="Nadpis1"/>
      </w:pPr>
      <w:bookmarkStart w:id="47" w:name="_Toc45707713"/>
      <w:r w:rsidRPr="00052756">
        <w:t>Informace pro odběr biologického materiálu včetně minimálního množství</w:t>
      </w:r>
      <w:bookmarkEnd w:id="47"/>
    </w:p>
    <w:p w:rsidR="00686686" w:rsidRDefault="00686686" w:rsidP="00643FEB">
      <w:pPr>
        <w:ind w:left="578"/>
      </w:pPr>
      <w:r>
        <w:t>Tato kapitola popisuje požadavky a pokyn pro odběr zpracovávaných biologických materiálů, požadované odběrové nádoby, minimální množství odebíraného materiálu a požadavky na transport biologického materiálu.</w:t>
      </w:r>
    </w:p>
    <w:p w:rsidR="00686686" w:rsidRPr="00052756" w:rsidRDefault="00686686" w:rsidP="00E323A2">
      <w:pPr>
        <w:pStyle w:val="Nadpis2"/>
      </w:pPr>
      <w:bookmarkStart w:id="48" w:name="_Toc45707714"/>
      <w:r w:rsidRPr="00BE0968">
        <w:t>Odběr biologického materiálu a typy přijímaných vzorků</w:t>
      </w:r>
      <w:bookmarkEnd w:id="48"/>
    </w:p>
    <w:p w:rsidR="00686686" w:rsidRDefault="00686686" w:rsidP="00643FEB">
      <w:pPr>
        <w:ind w:left="578"/>
      </w:pPr>
      <w:r>
        <w:t>Laboratoř sama nezajišťuje odběr biologického materiálu. K dalším analýzám jsou přijímány tyto typy vzorků:</w:t>
      </w:r>
    </w:p>
    <w:p w:rsidR="006150E5" w:rsidRDefault="00686686" w:rsidP="00E97379">
      <w:pPr>
        <w:pStyle w:val="Odstavecseseznamem"/>
        <w:numPr>
          <w:ilvl w:val="0"/>
          <w:numId w:val="11"/>
        </w:numPr>
        <w:ind w:left="1293" w:hanging="357"/>
        <w:jc w:val="left"/>
      </w:pPr>
      <w:r>
        <w:lastRenderedPageBreak/>
        <w:t xml:space="preserve">nesrážlivá krev odebraná do vhodné odběrové nádoby s EDTA </w:t>
      </w:r>
    </w:p>
    <w:p w:rsidR="00686686" w:rsidRPr="002B5A3D" w:rsidRDefault="00686686" w:rsidP="00E97379">
      <w:pPr>
        <w:pStyle w:val="Odstavecseseznamem"/>
        <w:numPr>
          <w:ilvl w:val="0"/>
          <w:numId w:val="11"/>
        </w:numPr>
        <w:ind w:left="1293" w:hanging="357"/>
        <w:jc w:val="left"/>
      </w:pPr>
      <w:r>
        <w:t xml:space="preserve">sliny odebrané do odběrového nádoby ORAGENE </w:t>
      </w:r>
      <w:r w:rsidRPr="006150E5">
        <w:rPr>
          <w:sz w:val="24"/>
        </w:rPr>
        <w:t>(</w:t>
      </w:r>
      <w:r w:rsidRPr="006150E5">
        <w:rPr>
          <w:bCs/>
        </w:rPr>
        <w:t xml:space="preserve">DNA </w:t>
      </w:r>
      <w:proofErr w:type="spellStart"/>
      <w:r w:rsidRPr="006150E5">
        <w:rPr>
          <w:bCs/>
        </w:rPr>
        <w:t>Genotek</w:t>
      </w:r>
      <w:proofErr w:type="spellEnd"/>
      <w:r w:rsidRPr="006150E5">
        <w:rPr>
          <w:bCs/>
        </w:rPr>
        <w:t>)</w:t>
      </w:r>
      <w:r w:rsidR="00B04671">
        <w:rPr>
          <w:bCs/>
        </w:rPr>
        <w:t xml:space="preserve"> (na vyžádání může poskytnout laboratoř)</w:t>
      </w:r>
    </w:p>
    <w:p w:rsidR="00686686" w:rsidRPr="003370DA" w:rsidRDefault="00686686" w:rsidP="00FA0AF6">
      <w:pPr>
        <w:pStyle w:val="Odstavecseseznamem"/>
        <w:numPr>
          <w:ilvl w:val="0"/>
          <w:numId w:val="11"/>
        </w:numPr>
        <w:ind w:left="1293" w:hanging="357"/>
        <w:jc w:val="left"/>
      </w:pPr>
      <w:r>
        <w:t>izolovaná DNA</w:t>
      </w:r>
    </w:p>
    <w:p w:rsidR="00686686" w:rsidRPr="00052756" w:rsidRDefault="00686686" w:rsidP="00052756">
      <w:pPr>
        <w:pStyle w:val="Nadpis2"/>
      </w:pPr>
      <w:bookmarkStart w:id="49" w:name="_Toc45707715"/>
      <w:r w:rsidRPr="00B1499D">
        <w:t>Odběrové nádoby</w:t>
      </w:r>
      <w:r>
        <w:t xml:space="preserve"> a minimální množství odebraného materiálu</w:t>
      </w:r>
      <w:bookmarkEnd w:id="49"/>
    </w:p>
    <w:p w:rsidR="00686686" w:rsidRDefault="00686686" w:rsidP="00643FEB">
      <w:pPr>
        <w:ind w:left="578"/>
      </w:pPr>
      <w:r>
        <w:t>Biologický materiál musí být do laboratoře dodán ve sterilních řádně označených nádobách nebo zkumavkách na jedno použití. Při odběru je vždy nutné zkumavky a odběrové nádoby řádně označit jménem a číslem pojištěnce (rodným číslem, případně datem narození pacienta).</w:t>
      </w:r>
    </w:p>
    <w:p w:rsidR="00686686" w:rsidRDefault="00686686" w:rsidP="00643FEB">
      <w:pPr>
        <w:ind w:left="578"/>
      </w:pPr>
      <w:r w:rsidRPr="00D91DF4">
        <w:rPr>
          <w:u w:val="single"/>
        </w:rPr>
        <w:t>Periferní nesrážlivou krev</w:t>
      </w:r>
      <w:r>
        <w:t xml:space="preserve"> určenou k izolaci DNA a dalšímu vyšetření je nutné odebrat do odběrových zkumavek s obsahem protisrážlivého činidla K2EDTA nebo K3EDTA (obvykle fialové víčko, např. firma VACUETTE). Odběr periferní krve pro molekulárně genetické vyšetření prováděné v laboratoři nevyžaduje žádná specifika </w:t>
      </w:r>
      <w:r w:rsidR="006150E5">
        <w:t>při odběru, krev nesmí být zmražena.</w:t>
      </w:r>
      <w:r>
        <w:t xml:space="preserve"> Dostatečné množství jsou 2 ml krve, minimální množství 400 </w:t>
      </w:r>
      <w:r w:rsidRPr="00392485">
        <w:rPr>
          <w:rFonts w:ascii="Symbol" w:hAnsi="Symbol"/>
        </w:rPr>
        <w:t></w:t>
      </w:r>
      <w:r>
        <w:t xml:space="preserve">l. </w:t>
      </w:r>
      <w:r w:rsidRPr="00392485">
        <w:t>Ihned po odběru je nutno zkumavku promíchat opakovaným opatrným obracením.</w:t>
      </w:r>
    </w:p>
    <w:p w:rsidR="00686686" w:rsidRDefault="00686686" w:rsidP="00643FEB">
      <w:pPr>
        <w:ind w:left="578"/>
      </w:pPr>
      <w:r w:rsidRPr="00D91DF4">
        <w:rPr>
          <w:u w:val="single"/>
        </w:rPr>
        <w:t>Sliny</w:t>
      </w:r>
      <w:r w:rsidRPr="003352ED">
        <w:t xml:space="preserve"> </w:t>
      </w:r>
      <w:r>
        <w:t xml:space="preserve">určené k izolaci DNA a dalšímu vyšetření je nutné odebrat/nasbírat do odběrové nádoby ORAGENE. Návod pro odběr slin spolu s odběrovým </w:t>
      </w:r>
      <w:proofErr w:type="spellStart"/>
      <w:r>
        <w:t>kitem</w:t>
      </w:r>
      <w:proofErr w:type="spellEnd"/>
      <w:r>
        <w:t xml:space="preserve"> je zasílán na vyžádání indikujícímu lékaři/pacientovi po telefonické domluvě na čísle </w:t>
      </w:r>
      <w:r w:rsidR="006150E5">
        <w:t xml:space="preserve">224436788 a </w:t>
      </w:r>
      <w:r>
        <w:t xml:space="preserve">224436789, odběrová nádoba je zaslána na požádání obratem. Optimální je naplnit odběrovou nádobu celou, minimální množství je 1 ml. </w:t>
      </w:r>
    </w:p>
    <w:p w:rsidR="00686686" w:rsidRDefault="00686686" w:rsidP="004B0067">
      <w:pPr>
        <w:ind w:left="578"/>
      </w:pPr>
      <w:r>
        <w:rPr>
          <w:u w:val="single"/>
        </w:rPr>
        <w:t>Izolovaná DNA</w:t>
      </w:r>
      <w:r w:rsidRPr="003352ED">
        <w:t xml:space="preserve"> </w:t>
      </w:r>
      <w:r>
        <w:t xml:space="preserve">musí být dodána v bezpečně uzavřené plastové zkumavce, nejlépe se šroubovacím víčkem. Minimální množství dodané izolované DNA je 10 </w:t>
      </w:r>
      <w:r w:rsidRPr="004D0B7A">
        <w:rPr>
          <w:rFonts w:ascii="Symbol" w:hAnsi="Symbol"/>
        </w:rPr>
        <w:t></w:t>
      </w:r>
      <w:r>
        <w:t xml:space="preserve">l o koncentraci cca 100 </w:t>
      </w:r>
      <w:proofErr w:type="spellStart"/>
      <w:r>
        <w:t>ng</w:t>
      </w:r>
      <w:proofErr w:type="spellEnd"/>
      <w:r>
        <w:t>/</w:t>
      </w:r>
      <w:r w:rsidRPr="004D0B7A">
        <w:rPr>
          <w:rFonts w:ascii="Symbol" w:hAnsi="Symbol"/>
        </w:rPr>
        <w:t></w:t>
      </w:r>
      <w:r>
        <w:t xml:space="preserve">l. </w:t>
      </w:r>
    </w:p>
    <w:p w:rsidR="00686686" w:rsidRPr="00B14D6E" w:rsidRDefault="00686686" w:rsidP="003F5BFB">
      <w:pPr>
        <w:pStyle w:val="Nadpis3"/>
      </w:pPr>
      <w:bookmarkStart w:id="50" w:name="_Toc45707716"/>
      <w:r>
        <w:t>Hlavní chyby při odběru</w:t>
      </w:r>
      <w:r w:rsidRPr="00B14D6E">
        <w:t xml:space="preserve"> </w:t>
      </w:r>
      <w:r>
        <w:t xml:space="preserve">periferní </w:t>
      </w:r>
      <w:r w:rsidRPr="00B14D6E">
        <w:t>krve</w:t>
      </w:r>
      <w:bookmarkEnd w:id="50"/>
    </w:p>
    <w:p w:rsidR="00686686" w:rsidRPr="00FB1624" w:rsidRDefault="00686686" w:rsidP="00FB1624">
      <w:pPr>
        <w:ind w:left="578"/>
        <w:rPr>
          <w:u w:val="single"/>
        </w:rPr>
      </w:pPr>
      <w:r w:rsidRPr="00FB1624">
        <w:rPr>
          <w:u w:val="single"/>
        </w:rPr>
        <w:t>Chyby vedoucí k hemolýze vzorku</w:t>
      </w:r>
    </w:p>
    <w:p w:rsidR="00686686" w:rsidRDefault="00686686" w:rsidP="00FB1624">
      <w:pPr>
        <w:ind w:left="578"/>
      </w:pPr>
      <w:r w:rsidRPr="004B0067">
        <w:t>Hemolýza vadí při izolaci DN</w:t>
      </w:r>
      <w:r>
        <w:t>A a následné PCR.</w:t>
      </w:r>
    </w:p>
    <w:p w:rsidR="00686686" w:rsidRPr="004B0067" w:rsidRDefault="00686686" w:rsidP="00FB1624">
      <w:pPr>
        <w:ind w:left="578"/>
      </w:pPr>
      <w:r w:rsidRPr="004B0067">
        <w:t>Hemolýzu způsobuje:</w:t>
      </w:r>
    </w:p>
    <w:p w:rsidR="00686686" w:rsidRDefault="00686686" w:rsidP="00FB1624">
      <w:pPr>
        <w:pStyle w:val="Odstavecseseznamem"/>
        <w:numPr>
          <w:ilvl w:val="1"/>
          <w:numId w:val="17"/>
        </w:numPr>
        <w:autoSpaceDE w:val="0"/>
        <w:autoSpaceDN w:val="0"/>
        <w:adjustRightInd w:val="0"/>
      </w:pPr>
      <w:r>
        <w:t>zmražení odebrané krve</w:t>
      </w:r>
    </w:p>
    <w:p w:rsidR="00686686" w:rsidRPr="004B0067" w:rsidRDefault="00686686" w:rsidP="00FB1624">
      <w:pPr>
        <w:pStyle w:val="Odstavecseseznamem"/>
        <w:numPr>
          <w:ilvl w:val="1"/>
          <w:numId w:val="17"/>
        </w:numPr>
        <w:autoSpaceDE w:val="0"/>
        <w:autoSpaceDN w:val="0"/>
        <w:adjustRightInd w:val="0"/>
      </w:pPr>
      <w:r w:rsidRPr="004B0067">
        <w:t>použití vlhké odběrové soustavy</w:t>
      </w:r>
    </w:p>
    <w:p w:rsidR="00686686" w:rsidRPr="004B0067" w:rsidRDefault="00686686" w:rsidP="00FB1624">
      <w:pPr>
        <w:pStyle w:val="Odstavecseseznamem"/>
        <w:numPr>
          <w:ilvl w:val="1"/>
          <w:numId w:val="17"/>
        </w:numPr>
        <w:autoSpaceDE w:val="0"/>
        <w:autoSpaceDN w:val="0"/>
        <w:adjustRightInd w:val="0"/>
      </w:pPr>
      <w:r w:rsidRPr="004B0067">
        <w:t>znečištění jehly nebo pokožky stopami ještě tekutého dezinfekčního prostředku</w:t>
      </w:r>
    </w:p>
    <w:p w:rsidR="00686686" w:rsidRPr="004B0067" w:rsidRDefault="00686686" w:rsidP="00FB1624">
      <w:pPr>
        <w:pStyle w:val="Odstavecseseznamem"/>
        <w:numPr>
          <w:ilvl w:val="1"/>
          <w:numId w:val="17"/>
        </w:numPr>
        <w:autoSpaceDE w:val="0"/>
        <w:autoSpaceDN w:val="0"/>
        <w:adjustRightInd w:val="0"/>
      </w:pPr>
      <w:r w:rsidRPr="004B0067">
        <w:t>použití příliš úzké jehly, kterou se pak krev násilně nasává</w:t>
      </w:r>
    </w:p>
    <w:p w:rsidR="00686686" w:rsidRPr="004B0067" w:rsidRDefault="00686686" w:rsidP="00FB1624">
      <w:pPr>
        <w:pStyle w:val="Odstavecseseznamem"/>
        <w:numPr>
          <w:ilvl w:val="1"/>
          <w:numId w:val="17"/>
        </w:numPr>
        <w:autoSpaceDE w:val="0"/>
        <w:autoSpaceDN w:val="0"/>
        <w:adjustRightInd w:val="0"/>
      </w:pPr>
      <w:r w:rsidRPr="004B0067">
        <w:t>prudké třepání krve ve zkumavce (k tomu dochází i při nešetrném transportu krve ihned po odběru)</w:t>
      </w:r>
    </w:p>
    <w:p w:rsidR="00686686" w:rsidRDefault="00686686" w:rsidP="00FB1624">
      <w:pPr>
        <w:pStyle w:val="Odstavecseseznamem"/>
        <w:numPr>
          <w:ilvl w:val="1"/>
          <w:numId w:val="17"/>
        </w:numPr>
        <w:autoSpaceDE w:val="0"/>
        <w:autoSpaceDN w:val="0"/>
        <w:adjustRightInd w:val="0"/>
      </w:pPr>
      <w:r w:rsidRPr="004B0067">
        <w:lastRenderedPageBreak/>
        <w:t>použití nesprávné konc</w:t>
      </w:r>
      <w:r>
        <w:t>entrace protisrážlivého činidla</w:t>
      </w:r>
    </w:p>
    <w:p w:rsidR="00686686" w:rsidRPr="00FB1624" w:rsidRDefault="00686686" w:rsidP="00FB1624">
      <w:pPr>
        <w:autoSpaceDE w:val="0"/>
        <w:autoSpaceDN w:val="0"/>
        <w:adjustRightInd w:val="0"/>
        <w:ind w:left="578"/>
        <w:rPr>
          <w:u w:val="single"/>
        </w:rPr>
      </w:pPr>
      <w:r w:rsidRPr="00FB1624">
        <w:rPr>
          <w:u w:val="single"/>
        </w:rPr>
        <w:t>Chyby vedoucí ke koagulaci vzorku</w:t>
      </w:r>
    </w:p>
    <w:p w:rsidR="00686686" w:rsidRPr="004B0067" w:rsidRDefault="00686686" w:rsidP="00FB1624">
      <w:pPr>
        <w:autoSpaceDE w:val="0"/>
        <w:autoSpaceDN w:val="0"/>
        <w:adjustRightInd w:val="0"/>
        <w:ind w:left="578"/>
      </w:pPr>
      <w:r w:rsidRPr="004B0067">
        <w:t>Koagulace způsobuje znehodnocení vzorku biologického mate</w:t>
      </w:r>
      <w:r>
        <w:t xml:space="preserve">riálu při veškerých vyšetřeních </w:t>
      </w:r>
      <w:r w:rsidRPr="004B0067">
        <w:t>prováděných v genetické laboratoři.</w:t>
      </w:r>
    </w:p>
    <w:p w:rsidR="00686686" w:rsidRPr="004B0067" w:rsidRDefault="00686686" w:rsidP="00FB1624">
      <w:pPr>
        <w:autoSpaceDE w:val="0"/>
        <w:autoSpaceDN w:val="0"/>
        <w:adjustRightInd w:val="0"/>
        <w:ind w:left="578"/>
      </w:pPr>
      <w:r w:rsidRPr="004B0067">
        <w:t>Koagulaci způsobuje:</w:t>
      </w:r>
    </w:p>
    <w:p w:rsidR="00686686" w:rsidRPr="004B0067" w:rsidRDefault="00686686" w:rsidP="00FB1624">
      <w:pPr>
        <w:pStyle w:val="Odstavecseseznamem"/>
        <w:numPr>
          <w:ilvl w:val="1"/>
          <w:numId w:val="19"/>
        </w:numPr>
        <w:autoSpaceDE w:val="0"/>
        <w:autoSpaceDN w:val="0"/>
        <w:adjustRightInd w:val="0"/>
        <w:ind w:left="1434" w:hanging="357"/>
      </w:pPr>
      <w:r w:rsidRPr="004B0067">
        <w:t xml:space="preserve">použití nevhodné odběrové zkumavky </w:t>
      </w:r>
      <w:r>
        <w:t xml:space="preserve">(sérové) </w:t>
      </w:r>
      <w:r w:rsidRPr="004B0067">
        <w:t>bez protisrážlivého činidla</w:t>
      </w:r>
    </w:p>
    <w:p w:rsidR="00686686" w:rsidRPr="004B0067" w:rsidRDefault="00686686" w:rsidP="00FB1624">
      <w:pPr>
        <w:pStyle w:val="Odstavecseseznamem"/>
        <w:numPr>
          <w:ilvl w:val="1"/>
          <w:numId w:val="19"/>
        </w:numPr>
        <w:autoSpaceDE w:val="0"/>
        <w:autoSpaceDN w:val="0"/>
        <w:adjustRightInd w:val="0"/>
        <w:ind w:left="1434" w:hanging="357"/>
      </w:pPr>
      <w:proofErr w:type="spellStart"/>
      <w:r w:rsidRPr="004B0067">
        <w:t>protrahovaný</w:t>
      </w:r>
      <w:proofErr w:type="spellEnd"/>
      <w:r w:rsidRPr="004B0067">
        <w:t xml:space="preserve"> odběr</w:t>
      </w:r>
    </w:p>
    <w:p w:rsidR="00686686" w:rsidRDefault="00686686" w:rsidP="00FB1624">
      <w:pPr>
        <w:pStyle w:val="Odstavecseseznamem"/>
        <w:numPr>
          <w:ilvl w:val="1"/>
          <w:numId w:val="19"/>
        </w:numPr>
        <w:autoSpaceDE w:val="0"/>
        <w:autoSpaceDN w:val="0"/>
        <w:adjustRightInd w:val="0"/>
        <w:ind w:left="1434" w:hanging="357"/>
      </w:pPr>
      <w:r>
        <w:t xml:space="preserve">nepromíchání nebo </w:t>
      </w:r>
      <w:r w:rsidRPr="004B0067">
        <w:t>nesprávné promíchání s protisrážlivým činidlem v odběrové zkumavce</w:t>
      </w:r>
    </w:p>
    <w:p w:rsidR="00686686" w:rsidRDefault="00686686" w:rsidP="003F5BFB">
      <w:pPr>
        <w:pStyle w:val="Nadpis3"/>
      </w:pPr>
      <w:bookmarkStart w:id="51" w:name="_Toc45707717"/>
      <w:r w:rsidRPr="00337F31">
        <w:t>Hlavní chyby při odb</w:t>
      </w:r>
      <w:r>
        <w:t>ěru</w:t>
      </w:r>
      <w:r w:rsidRPr="00337F31">
        <w:t xml:space="preserve"> </w:t>
      </w:r>
      <w:r>
        <w:t>slin</w:t>
      </w:r>
      <w:bookmarkEnd w:id="51"/>
    </w:p>
    <w:p w:rsidR="00686686" w:rsidRDefault="00686686" w:rsidP="00A74462">
      <w:pPr>
        <w:ind w:left="578"/>
      </w:pPr>
      <w:r w:rsidRPr="00A35DC6">
        <w:t xml:space="preserve">Nedodržení postupu </w:t>
      </w:r>
      <w:r>
        <w:t xml:space="preserve">a doporučení </w:t>
      </w:r>
      <w:r w:rsidRPr="00A35DC6">
        <w:t>výrobce pro použití o</w:t>
      </w:r>
      <w:r>
        <w:t>d</w:t>
      </w:r>
      <w:r w:rsidRPr="00A35DC6">
        <w:t xml:space="preserve">běrového </w:t>
      </w:r>
      <w:r>
        <w:t>nádoby</w:t>
      </w:r>
      <w:r w:rsidRPr="00A35DC6">
        <w:t xml:space="preserve"> ORAGENE</w:t>
      </w:r>
      <w:r>
        <w:t xml:space="preserve"> a to zejména:</w:t>
      </w:r>
    </w:p>
    <w:p w:rsidR="00686686" w:rsidRDefault="00686686" w:rsidP="00A74462">
      <w:pPr>
        <w:pStyle w:val="Odstavecseseznamem"/>
        <w:numPr>
          <w:ilvl w:val="0"/>
          <w:numId w:val="22"/>
        </w:numPr>
      </w:pPr>
      <w:r>
        <w:t>30 minut před odběrem se nesmí jíst, pít, kouřit, žvýkat žvýkačku</w:t>
      </w:r>
    </w:p>
    <w:p w:rsidR="00686686" w:rsidRDefault="00686686" w:rsidP="00A74462">
      <w:pPr>
        <w:pStyle w:val="Odstavecseseznamem"/>
        <w:numPr>
          <w:ilvl w:val="0"/>
          <w:numId w:val="22"/>
        </w:numPr>
      </w:pPr>
      <w:r>
        <w:t>nesprávné promíchání se stabilizační tekutinou</w:t>
      </w:r>
    </w:p>
    <w:p w:rsidR="00686686" w:rsidRPr="00A35DC6" w:rsidRDefault="00686686" w:rsidP="00A74462">
      <w:pPr>
        <w:pStyle w:val="Odstavecseseznamem"/>
        <w:numPr>
          <w:ilvl w:val="0"/>
          <w:numId w:val="22"/>
        </w:numPr>
      </w:pPr>
      <w:r>
        <w:t>nedodržení času odběru do 30 minut snižuje výtěžek a ovlivňuje kvalitu DNA</w:t>
      </w:r>
    </w:p>
    <w:p w:rsidR="00686686" w:rsidRPr="00A74462" w:rsidRDefault="00686686" w:rsidP="003F5BFB">
      <w:pPr>
        <w:pStyle w:val="Nadpis3"/>
      </w:pPr>
      <w:bookmarkStart w:id="52" w:name="_Toc45707718"/>
      <w:r>
        <w:t>Hlavní c</w:t>
      </w:r>
      <w:r w:rsidRPr="00A74462">
        <w:t>hyby při odběru, skladování a transportu krve a slin</w:t>
      </w:r>
      <w:bookmarkEnd w:id="52"/>
    </w:p>
    <w:p w:rsidR="00686686" w:rsidRPr="004B0067" w:rsidRDefault="00686686" w:rsidP="00FB1624">
      <w:pPr>
        <w:pStyle w:val="Odstavecseseznamem"/>
        <w:numPr>
          <w:ilvl w:val="1"/>
          <w:numId w:val="21"/>
        </w:numPr>
        <w:autoSpaceDE w:val="0"/>
        <w:autoSpaceDN w:val="0"/>
        <w:adjustRightInd w:val="0"/>
        <w:ind w:left="1434" w:hanging="357"/>
      </w:pPr>
      <w:r>
        <w:t xml:space="preserve">Použití </w:t>
      </w:r>
      <w:r w:rsidRPr="004B0067">
        <w:t xml:space="preserve">nevhodné </w:t>
      </w:r>
      <w:r>
        <w:t xml:space="preserve">odběrové </w:t>
      </w:r>
      <w:r w:rsidRPr="004B0067">
        <w:t>zkumavky</w:t>
      </w:r>
      <w:r>
        <w:t xml:space="preserve"> (sérové – srážlivé) a nádoby</w:t>
      </w:r>
    </w:p>
    <w:p w:rsidR="00686686" w:rsidRPr="004B0067" w:rsidRDefault="00686686" w:rsidP="00FB1624">
      <w:pPr>
        <w:pStyle w:val="Odstavecseseznamem"/>
        <w:numPr>
          <w:ilvl w:val="1"/>
          <w:numId w:val="21"/>
        </w:numPr>
        <w:autoSpaceDE w:val="0"/>
        <w:autoSpaceDN w:val="0"/>
        <w:adjustRightInd w:val="0"/>
        <w:ind w:left="1434" w:hanging="357"/>
      </w:pPr>
      <w:r w:rsidRPr="004B0067">
        <w:t>nesprávné protisrážlivé činidlo</w:t>
      </w:r>
    </w:p>
    <w:p w:rsidR="00686686" w:rsidRPr="004B0067" w:rsidRDefault="00686686" w:rsidP="00FB1624">
      <w:pPr>
        <w:pStyle w:val="Odstavecseseznamem"/>
        <w:numPr>
          <w:ilvl w:val="1"/>
          <w:numId w:val="21"/>
        </w:numPr>
        <w:autoSpaceDE w:val="0"/>
        <w:autoSpaceDN w:val="0"/>
        <w:adjustRightInd w:val="0"/>
        <w:ind w:left="1434" w:hanging="357"/>
      </w:pPr>
      <w:r>
        <w:t>nepromích</w:t>
      </w:r>
      <w:r w:rsidR="00053B6E">
        <w:t>á</w:t>
      </w:r>
      <w:r>
        <w:t xml:space="preserve">ní nebo </w:t>
      </w:r>
      <w:r w:rsidRPr="004B0067">
        <w:t>nesprávné promíchání obsahu zkumavky po odběru</w:t>
      </w:r>
    </w:p>
    <w:p w:rsidR="00686686" w:rsidRPr="004B0067" w:rsidRDefault="00686686" w:rsidP="00FB1624">
      <w:pPr>
        <w:pStyle w:val="Odstavecseseznamem"/>
        <w:numPr>
          <w:ilvl w:val="1"/>
          <w:numId w:val="21"/>
        </w:numPr>
        <w:autoSpaceDE w:val="0"/>
        <w:autoSpaceDN w:val="0"/>
        <w:adjustRightInd w:val="0"/>
        <w:ind w:left="1434" w:hanging="357"/>
      </w:pPr>
      <w:r w:rsidRPr="004B0067">
        <w:t xml:space="preserve">nedostatečné označení </w:t>
      </w:r>
      <w:r>
        <w:t>zkumavky či nádoby</w:t>
      </w:r>
      <w:r w:rsidRPr="004B0067">
        <w:t xml:space="preserve"> s odebraným biologickým materiálem</w:t>
      </w:r>
    </w:p>
    <w:p w:rsidR="00686686" w:rsidRPr="004B0067" w:rsidRDefault="00686686" w:rsidP="00FB1624">
      <w:pPr>
        <w:pStyle w:val="Odstavecseseznamem"/>
        <w:numPr>
          <w:ilvl w:val="1"/>
          <w:numId w:val="21"/>
        </w:numPr>
        <w:autoSpaceDE w:val="0"/>
        <w:autoSpaceDN w:val="0"/>
        <w:adjustRightInd w:val="0"/>
        <w:ind w:left="1434" w:hanging="357"/>
      </w:pPr>
      <w:r w:rsidRPr="004B0067">
        <w:t>zkumavky po odběru jsou potřísněny krví</w:t>
      </w:r>
    </w:p>
    <w:p w:rsidR="00686686" w:rsidRPr="004B0067" w:rsidRDefault="00686686" w:rsidP="00FB1624">
      <w:pPr>
        <w:pStyle w:val="Odstavecseseznamem"/>
        <w:numPr>
          <w:ilvl w:val="1"/>
          <w:numId w:val="21"/>
        </w:numPr>
        <w:autoSpaceDE w:val="0"/>
        <w:autoSpaceDN w:val="0"/>
        <w:adjustRightInd w:val="0"/>
        <w:ind w:left="1434" w:hanging="357"/>
      </w:pPr>
      <w:r>
        <w:t xml:space="preserve">zmražení krve nebo </w:t>
      </w:r>
      <w:r w:rsidRPr="004B0067">
        <w:t>vystaven</w:t>
      </w:r>
      <w:r>
        <w:t>í</w:t>
      </w:r>
      <w:r w:rsidRPr="004B0067">
        <w:t xml:space="preserve"> </w:t>
      </w:r>
      <w:r>
        <w:t xml:space="preserve">mrazu nebo nadměrnému </w:t>
      </w:r>
      <w:r w:rsidRPr="004B0067">
        <w:t xml:space="preserve">teplu </w:t>
      </w:r>
    </w:p>
    <w:p w:rsidR="00686686" w:rsidRPr="00D91DF4" w:rsidRDefault="00686686" w:rsidP="00337F31">
      <w:pPr>
        <w:pStyle w:val="Odstavecseseznamem"/>
        <w:numPr>
          <w:ilvl w:val="1"/>
          <w:numId w:val="21"/>
        </w:numPr>
        <w:ind w:left="1434" w:hanging="357"/>
      </w:pPr>
      <w:r w:rsidRPr="004B0067">
        <w:t>krev byla vystavena přímému slunečnímu světlu</w:t>
      </w:r>
    </w:p>
    <w:p w:rsidR="00686686" w:rsidRPr="00052756" w:rsidRDefault="00686686" w:rsidP="00A124E9">
      <w:pPr>
        <w:pStyle w:val="Nadpis2"/>
      </w:pPr>
      <w:bookmarkStart w:id="53" w:name="_Toc45707719"/>
      <w:r w:rsidRPr="00B80981">
        <w:t>Transport a manipulace se vzorky</w:t>
      </w:r>
      <w:bookmarkEnd w:id="53"/>
    </w:p>
    <w:p w:rsidR="00686686" w:rsidRPr="000D3AE1" w:rsidRDefault="00686686" w:rsidP="006E0581">
      <w:pPr>
        <w:pStyle w:val="Odstavecseseznamem"/>
        <w:numPr>
          <w:ilvl w:val="0"/>
          <w:numId w:val="6"/>
        </w:numPr>
        <w:spacing w:after="200"/>
      </w:pPr>
      <w:r w:rsidRPr="000D3AE1">
        <w:t xml:space="preserve">Odebranou </w:t>
      </w:r>
      <w:r w:rsidRPr="000D3AE1">
        <w:rPr>
          <w:u w:val="single"/>
        </w:rPr>
        <w:t>periferní nesrážlivou krev</w:t>
      </w:r>
      <w:r w:rsidRPr="000D3AE1">
        <w:t xml:space="preserve"> </w:t>
      </w:r>
      <w:r>
        <w:t xml:space="preserve">v odběrové zkumavce lze uchovávat až 3 dny při teplotě 0 – 25 °C, </w:t>
      </w:r>
      <w:r w:rsidRPr="000D3AE1">
        <w:t xml:space="preserve">optimální </w:t>
      </w:r>
      <w:r>
        <w:t>je však teplota</w:t>
      </w:r>
      <w:r w:rsidRPr="000D3AE1">
        <w:t xml:space="preserve"> </w:t>
      </w:r>
      <w:r>
        <w:t>2 – 8 °C. Krev je možné ucho</w:t>
      </w:r>
      <w:r w:rsidRPr="000D3AE1">
        <w:t xml:space="preserve">vat </w:t>
      </w:r>
      <w:r>
        <w:t>při</w:t>
      </w:r>
      <w:r w:rsidRPr="000D3AE1">
        <w:t xml:space="preserve"> pokojové teplotě </w:t>
      </w:r>
      <w:r>
        <w:t>a</w:t>
      </w:r>
      <w:r w:rsidRPr="000D3AE1">
        <w:t xml:space="preserve"> zaslat poštou. </w:t>
      </w:r>
    </w:p>
    <w:p w:rsidR="00686686" w:rsidRPr="000D3AE1" w:rsidRDefault="00686686" w:rsidP="00A24036">
      <w:pPr>
        <w:pStyle w:val="Odstavecseseznamem"/>
        <w:numPr>
          <w:ilvl w:val="0"/>
          <w:numId w:val="6"/>
        </w:numPr>
        <w:spacing w:after="200"/>
      </w:pPr>
      <w:r w:rsidRPr="000D3AE1">
        <w:t xml:space="preserve">Odebrané </w:t>
      </w:r>
      <w:r w:rsidRPr="000D3AE1">
        <w:rPr>
          <w:u w:val="single"/>
        </w:rPr>
        <w:t>sliny k izolaci DNA</w:t>
      </w:r>
      <w:r>
        <w:t xml:space="preserve"> v odběrové nádobě</w:t>
      </w:r>
      <w:r w:rsidRPr="000D3AE1">
        <w:t xml:space="preserve"> ORAGENE je možné skladovat </w:t>
      </w:r>
      <w:r>
        <w:t>při teplotě 0 – 25 °C a to i delší dobu – i měsíce</w:t>
      </w:r>
      <w:r w:rsidRPr="000D3AE1">
        <w:t>. Odebrané sliny je možné zaslat poštou.</w:t>
      </w:r>
    </w:p>
    <w:p w:rsidR="00686686" w:rsidRPr="000D3AE1" w:rsidRDefault="00686686" w:rsidP="00A24036">
      <w:pPr>
        <w:ind w:left="578"/>
      </w:pPr>
      <w:r w:rsidRPr="000D3AE1">
        <w:lastRenderedPageBreak/>
        <w:t xml:space="preserve">U vzorků periferní krve a slin zasílaných poštou je vhodné vyznačit datum odběru, stačí ale, pokud je datum </w:t>
      </w:r>
      <w:r>
        <w:t xml:space="preserve">a hodina </w:t>
      </w:r>
      <w:r w:rsidRPr="000D3AE1">
        <w:t>odběru uveden</w:t>
      </w:r>
      <w:r>
        <w:t>a</w:t>
      </w:r>
      <w:r w:rsidRPr="000D3AE1">
        <w:t xml:space="preserve"> na žádance. Transport nebo zaslání vzorků periferní krve a odebraných slin je třeba zajistit </w:t>
      </w:r>
      <w:r>
        <w:t>neprodleně nejpozději však do tří dnů od odběru</w:t>
      </w:r>
      <w:r w:rsidRPr="000D3AE1">
        <w:t>.</w:t>
      </w:r>
    </w:p>
    <w:p w:rsidR="00686686" w:rsidRPr="000D3AE1" w:rsidRDefault="00686686" w:rsidP="00A24036">
      <w:pPr>
        <w:pStyle w:val="Odstavecseseznamem"/>
        <w:numPr>
          <w:ilvl w:val="0"/>
          <w:numId w:val="6"/>
        </w:numPr>
        <w:spacing w:after="200"/>
      </w:pPr>
      <w:r w:rsidRPr="000D3AE1">
        <w:rPr>
          <w:u w:val="single"/>
        </w:rPr>
        <w:t>Izolovanou DNA</w:t>
      </w:r>
      <w:r w:rsidRPr="000D3AE1">
        <w:t xml:space="preserve"> je možné dodat osobně</w:t>
      </w:r>
      <w:r>
        <w:t>/svozem</w:t>
      </w:r>
      <w:r w:rsidRPr="000D3AE1">
        <w:t xml:space="preserve"> nebo zaslat poštou, vzorky mohou být uchovány </w:t>
      </w:r>
      <w:r>
        <w:t>při teplotě 0 – 25 °C</w:t>
      </w:r>
      <w:r w:rsidRPr="000D3AE1">
        <w:t xml:space="preserve">. </w:t>
      </w:r>
      <w:r>
        <w:t>Vzorky izolované DNA mohou být již předtím zmraženy.</w:t>
      </w:r>
    </w:p>
    <w:p w:rsidR="00686686" w:rsidRPr="00BF6F47" w:rsidRDefault="00686686" w:rsidP="009208B1">
      <w:pPr>
        <w:ind w:left="578"/>
      </w:pPr>
      <w:r>
        <w:t>Při zaslání poštou je třeba vzorky řádně zabezpečit proti mechanickému i jinému poškození a kontaminaci, tzn. pevně zavřít a vložit do ochranného pouzdra či obalu,</w:t>
      </w:r>
      <w:r w:rsidDel="00DE6AB9">
        <w:t xml:space="preserve"> </w:t>
      </w:r>
      <w:r w:rsidRPr="00BF6F47">
        <w:t>a zaslat v bublinkové obálce, případně ještě zabalit do bublinkové fólie.  Za zajištění transportu a vhodný způsob dodání odpovídá žadatel.</w:t>
      </w:r>
    </w:p>
    <w:p w:rsidR="00686686" w:rsidRDefault="00686686" w:rsidP="009208B1">
      <w:pPr>
        <w:ind w:left="578"/>
      </w:pPr>
      <w:r w:rsidRPr="00BF6F47">
        <w:t xml:space="preserve">Při transportu je nutné chránit biologický materiál před extrémními teplotami a světlem. Pokud je dodaný biologický materiál vylitý nebo poškozená nádoba/zkumavka, laboratoř toto oznámí telefonicky žadateli a zažádá o nový odběr. Skutečnost je zanesena do </w:t>
      </w:r>
      <w:r w:rsidRPr="00BF6F47">
        <w:rPr>
          <w:i/>
        </w:rPr>
        <w:t>Knihy neshod při příjmu vzorků</w:t>
      </w:r>
      <w:r w:rsidRPr="00BF6F47">
        <w:t>.</w:t>
      </w:r>
    </w:p>
    <w:p w:rsidR="00686686" w:rsidRPr="00E323A2" w:rsidRDefault="00686686" w:rsidP="00E323A2">
      <w:pPr>
        <w:pStyle w:val="Nadpis1"/>
      </w:pPr>
      <w:bookmarkStart w:id="54" w:name="_Toc45707720"/>
      <w:r w:rsidRPr="00E323A2">
        <w:t>Skladování vzorků a dodatečná vyšetření</w:t>
      </w:r>
      <w:bookmarkEnd w:id="54"/>
    </w:p>
    <w:p w:rsidR="00686686" w:rsidRPr="00B05ACB" w:rsidRDefault="00686686" w:rsidP="009B71A3">
      <w:pPr>
        <w:ind w:left="578"/>
        <w:rPr>
          <w:szCs w:val="22"/>
        </w:rPr>
      </w:pPr>
      <w:r w:rsidRPr="00B05ACB">
        <w:rPr>
          <w:szCs w:val="22"/>
        </w:rPr>
        <w:t>Požadavky ke skladování vzorků laboratoří vycházejí vždy ze stability materiálu. Vzorky přijaté laboratoří se skladují do doby vyšetření nebo dalšího zpracování (v případě primárních vzorků) během pracovního dne (nebo přes víkend) tak, aby se zabránilo znehodnocení, rozlití, kontaminaci, přímému vlivu slunečního záření a tepla. Nejčastěji v chladničce při teplotě +2°C až +8°C.</w:t>
      </w:r>
    </w:p>
    <w:p w:rsidR="00686686" w:rsidRPr="00FF7A39" w:rsidRDefault="00686686" w:rsidP="00E323A2">
      <w:pPr>
        <w:pStyle w:val="Nadpis2"/>
      </w:pPr>
      <w:bookmarkStart w:id="55" w:name="_Toc45707721"/>
      <w:r w:rsidRPr="00FF7A39">
        <w:t>Manipulace a skladování materiálu po vyšetření</w:t>
      </w:r>
      <w:bookmarkEnd w:id="55"/>
    </w:p>
    <w:p w:rsidR="00686686" w:rsidRPr="00B05ACB" w:rsidRDefault="00686686" w:rsidP="009B71A3">
      <w:pPr>
        <w:ind w:left="578"/>
        <w:rPr>
          <w:szCs w:val="22"/>
        </w:rPr>
      </w:pPr>
      <w:r w:rsidRPr="00B05ACB">
        <w:rPr>
          <w:szCs w:val="22"/>
        </w:rPr>
        <w:t>Po předchozím souhlasu vyšetřované/ho jsou vzorky po vyšetření skladovány následujícím způsobem:</w:t>
      </w:r>
    </w:p>
    <w:p w:rsidR="00686686" w:rsidRPr="00B05ACB" w:rsidRDefault="00686686" w:rsidP="00615266">
      <w:pPr>
        <w:autoSpaceDE w:val="0"/>
        <w:autoSpaceDN w:val="0"/>
        <w:adjustRightInd w:val="0"/>
        <w:ind w:left="578"/>
        <w:rPr>
          <w:szCs w:val="22"/>
          <w:u w:val="single"/>
        </w:rPr>
      </w:pPr>
      <w:r w:rsidRPr="00B05ACB">
        <w:rPr>
          <w:szCs w:val="22"/>
          <w:u w:val="single"/>
        </w:rPr>
        <w:t>Primární vzorky</w:t>
      </w:r>
    </w:p>
    <w:p w:rsidR="00686686" w:rsidRPr="00FF7A39" w:rsidRDefault="00686686" w:rsidP="00615266">
      <w:pPr>
        <w:autoSpaceDE w:val="0"/>
        <w:autoSpaceDN w:val="0"/>
        <w:adjustRightInd w:val="0"/>
        <w:ind w:left="578"/>
        <w:rPr>
          <w:szCs w:val="22"/>
        </w:rPr>
      </w:pPr>
      <w:r w:rsidRPr="00FF7A39">
        <w:rPr>
          <w:szCs w:val="22"/>
        </w:rPr>
        <w:t>Periferní krev (</w:t>
      </w:r>
      <w:proofErr w:type="spellStart"/>
      <w:r w:rsidRPr="00FF7A39">
        <w:rPr>
          <w:szCs w:val="22"/>
        </w:rPr>
        <w:t>alikvot</w:t>
      </w:r>
      <w:proofErr w:type="spellEnd"/>
      <w:r w:rsidRPr="00FF7A39">
        <w:rPr>
          <w:szCs w:val="22"/>
        </w:rPr>
        <w:t xml:space="preserve">) – skladování po neomezenou dobu v mrazáku (-18°C až -22°C) </w:t>
      </w:r>
    </w:p>
    <w:p w:rsidR="00686686" w:rsidRPr="00FF7A39" w:rsidRDefault="00686686" w:rsidP="00615266">
      <w:pPr>
        <w:autoSpaceDE w:val="0"/>
        <w:autoSpaceDN w:val="0"/>
        <w:adjustRightInd w:val="0"/>
        <w:ind w:left="578"/>
        <w:rPr>
          <w:szCs w:val="22"/>
        </w:rPr>
      </w:pPr>
      <w:r w:rsidRPr="00FF7A39">
        <w:rPr>
          <w:szCs w:val="22"/>
        </w:rPr>
        <w:t xml:space="preserve">Sliny </w:t>
      </w:r>
      <w:r>
        <w:rPr>
          <w:szCs w:val="22"/>
        </w:rPr>
        <w:t>v</w:t>
      </w:r>
      <w:r w:rsidR="00B52FE1">
        <w:rPr>
          <w:szCs w:val="22"/>
        </w:rPr>
        <w:t> </w:t>
      </w:r>
      <w:r>
        <w:rPr>
          <w:szCs w:val="22"/>
        </w:rPr>
        <w:t>odběrov</w:t>
      </w:r>
      <w:r w:rsidR="00B52FE1">
        <w:rPr>
          <w:szCs w:val="22"/>
        </w:rPr>
        <w:t>é nádobě</w:t>
      </w:r>
      <w:r>
        <w:rPr>
          <w:szCs w:val="22"/>
        </w:rPr>
        <w:t xml:space="preserve"> </w:t>
      </w:r>
      <w:proofErr w:type="spellStart"/>
      <w:r>
        <w:rPr>
          <w:szCs w:val="22"/>
        </w:rPr>
        <w:t>Oragene</w:t>
      </w:r>
      <w:proofErr w:type="spellEnd"/>
      <w:r>
        <w:rPr>
          <w:szCs w:val="22"/>
        </w:rPr>
        <w:t xml:space="preserve"> </w:t>
      </w:r>
      <w:r w:rsidRPr="00FF7A39">
        <w:rPr>
          <w:szCs w:val="22"/>
        </w:rPr>
        <w:t>– skladování po neomezenou dobu při laboratorní</w:t>
      </w:r>
      <w:r w:rsidR="00B52FE1">
        <w:rPr>
          <w:szCs w:val="22"/>
        </w:rPr>
        <w:t>/pokojové</w:t>
      </w:r>
      <w:r w:rsidRPr="00FF7A39">
        <w:rPr>
          <w:szCs w:val="22"/>
        </w:rPr>
        <w:t xml:space="preserve"> teplotě </w:t>
      </w:r>
    </w:p>
    <w:p w:rsidR="00686686" w:rsidRPr="00FF7A39" w:rsidRDefault="00686686" w:rsidP="00615266">
      <w:pPr>
        <w:autoSpaceDE w:val="0"/>
        <w:autoSpaceDN w:val="0"/>
        <w:adjustRightInd w:val="0"/>
        <w:ind w:left="578"/>
        <w:rPr>
          <w:szCs w:val="22"/>
          <w:u w:val="single"/>
        </w:rPr>
      </w:pPr>
      <w:r w:rsidRPr="00FF7A39">
        <w:rPr>
          <w:szCs w:val="22"/>
          <w:u w:val="single"/>
        </w:rPr>
        <w:t>Sekundární vzorky</w:t>
      </w:r>
    </w:p>
    <w:p w:rsidR="00686686" w:rsidRPr="00FF7A39" w:rsidRDefault="00686686" w:rsidP="00615266">
      <w:pPr>
        <w:autoSpaceDE w:val="0"/>
        <w:autoSpaceDN w:val="0"/>
        <w:adjustRightInd w:val="0"/>
        <w:ind w:left="578"/>
        <w:rPr>
          <w:szCs w:val="22"/>
        </w:rPr>
      </w:pPr>
      <w:r w:rsidRPr="00FF7A39">
        <w:rPr>
          <w:szCs w:val="22"/>
        </w:rPr>
        <w:t xml:space="preserve">Izolovaná DNA - skladování po neomezenou dobu v mrazáku (-18°C až -22°C) </w:t>
      </w:r>
    </w:p>
    <w:p w:rsidR="00686686" w:rsidRPr="00FF7A39" w:rsidRDefault="00686686" w:rsidP="00615266">
      <w:pPr>
        <w:autoSpaceDE w:val="0"/>
        <w:autoSpaceDN w:val="0"/>
        <w:adjustRightInd w:val="0"/>
        <w:ind w:left="578"/>
        <w:rPr>
          <w:szCs w:val="22"/>
        </w:rPr>
      </w:pPr>
    </w:p>
    <w:p w:rsidR="00686686" w:rsidRPr="00242AC0" w:rsidRDefault="00686686" w:rsidP="00242AC0">
      <w:pPr>
        <w:ind w:left="567"/>
        <w:rPr>
          <w:color w:val="000000"/>
          <w:szCs w:val="22"/>
        </w:rPr>
      </w:pPr>
      <w:r w:rsidRPr="00242AC0">
        <w:rPr>
          <w:szCs w:val="22"/>
        </w:rPr>
        <w:t xml:space="preserve">Nezpracované zbytky krve po odebrání </w:t>
      </w:r>
      <w:proofErr w:type="spellStart"/>
      <w:r w:rsidRPr="00242AC0">
        <w:rPr>
          <w:szCs w:val="22"/>
        </w:rPr>
        <w:t>alikvot</w:t>
      </w:r>
      <w:proofErr w:type="spellEnd"/>
      <w:r w:rsidRPr="00242AC0">
        <w:rPr>
          <w:szCs w:val="22"/>
        </w:rPr>
        <w:t xml:space="preserve"> ke skladování jsou likvidová</w:t>
      </w:r>
      <w:r w:rsidR="00242AC0" w:rsidRPr="00242AC0">
        <w:rPr>
          <w:szCs w:val="22"/>
        </w:rPr>
        <w:t xml:space="preserve">ny jako nebezpečný odpad dle platné směrnice FN Motol </w:t>
      </w:r>
      <w:r w:rsidR="00242AC0" w:rsidRPr="00242AC0">
        <w:rPr>
          <w:i/>
          <w:color w:val="000000"/>
          <w:szCs w:val="22"/>
        </w:rPr>
        <w:t xml:space="preserve">IOS_23/2005_Nakládání s odpady ve Fakultní nemocnici </w:t>
      </w:r>
      <w:r w:rsidR="00242AC0" w:rsidRPr="00242AC0">
        <w:rPr>
          <w:i/>
          <w:color w:val="000000"/>
          <w:szCs w:val="22"/>
        </w:rPr>
        <w:lastRenderedPageBreak/>
        <w:t>v Motole</w:t>
      </w:r>
      <w:r w:rsidRPr="00242AC0">
        <w:rPr>
          <w:szCs w:val="22"/>
        </w:rPr>
        <w:t>. Úklid a případná dekontaminace místa potřísněného biologickým materiálem probíhá v souladu s §10 vyhlášky 306/2012 Sb. MZ.</w:t>
      </w:r>
    </w:p>
    <w:p w:rsidR="00686686" w:rsidRDefault="00686686" w:rsidP="00E323A2">
      <w:pPr>
        <w:pStyle w:val="Nadpis2"/>
      </w:pPr>
      <w:bookmarkStart w:id="56" w:name="_Toc45707722"/>
      <w:r>
        <w:t>Dodatečná vyšetření a časový interval pro jejich požadování</w:t>
      </w:r>
      <w:bookmarkEnd w:id="56"/>
    </w:p>
    <w:p w:rsidR="00686686" w:rsidRDefault="00686686" w:rsidP="00A315CD">
      <w:pPr>
        <w:ind w:left="578"/>
      </w:pPr>
      <w:r w:rsidRPr="00811874">
        <w:t>Dodatečná vyšetření jsou limitována vlastností, množstvím a uchováním zpracovávaného biologického materiálu</w:t>
      </w:r>
      <w:r>
        <w:t xml:space="preserve">. Kvalita případného dalšího nebo opakovaného vyšetření může být ovlivněna dobou a metodou skladování. Dodatečně požadovaná vyšetření lze provést z izolované DNA archivované v laboratoři (pokud byl dán předchozí souhlas vyšetřované/ho s jejím uchováním a s účelem vyšetření). </w:t>
      </w:r>
    </w:p>
    <w:p w:rsidR="00E97379" w:rsidRDefault="00071F8D" w:rsidP="00E97379">
      <w:pPr>
        <w:ind w:left="578"/>
      </w:pPr>
      <w:r>
        <w:t>Pacienty vyšetřuje laboratoř</w:t>
      </w:r>
      <w:r w:rsidR="00E97379">
        <w:t xml:space="preserve"> dle klinické diagnózy a to postupem od nejčastěji se vyskytujících </w:t>
      </w:r>
      <w:r w:rsidR="00E8460D">
        <w:t>molekulárně genetických příčin nemocí</w:t>
      </w:r>
      <w:r w:rsidR="00E97379">
        <w:t xml:space="preserve"> po vzácnější a od toho se odvíjí i sled použitých </w:t>
      </w:r>
      <w:r w:rsidR="00E8460D">
        <w:t xml:space="preserve">vyšetřovacích </w:t>
      </w:r>
      <w:r w:rsidR="00E97379">
        <w:t>metod.</w:t>
      </w:r>
      <w:r w:rsidR="00E8460D">
        <w:t xml:space="preserve"> V případě nutnosti použití dalších vyšetřovacích metod k odhalení genetické příčiny zadané klinické diagnózy, laboratoř </w:t>
      </w:r>
      <w:r w:rsidR="00E97379">
        <w:t xml:space="preserve">telefonicky informuje </w:t>
      </w:r>
      <w:r w:rsidR="00E8460D">
        <w:t xml:space="preserve">žadatele. </w:t>
      </w:r>
      <w:r w:rsidR="008D7A20">
        <w:t xml:space="preserve">Dodatečné vyšetření je zaznamenáno do původní žádanky s datem a podpisem pracovníka, který s žadatelem dohodl </w:t>
      </w:r>
      <w:r w:rsidR="00CE3B60">
        <w:t>další vyšetřovací postup.</w:t>
      </w:r>
    </w:p>
    <w:p w:rsidR="00686686" w:rsidRDefault="00E97379" w:rsidP="000B12DE">
      <w:pPr>
        <w:ind w:left="578"/>
      </w:pPr>
      <w:r>
        <w:t>V</w:t>
      </w:r>
      <w:r w:rsidR="00686686">
        <w:t> případě změny účelu vyšetření nebo zásadní změny v rozsahu a zaměření vyšetření</w:t>
      </w:r>
      <w:r>
        <w:t xml:space="preserve"> (jiná další diagnóza u pacienta)</w:t>
      </w:r>
      <w:r w:rsidR="00686686">
        <w:t xml:space="preserve"> </w:t>
      </w:r>
      <w:r w:rsidR="00E7036D">
        <w:t>vyžaduje laboratoř</w:t>
      </w:r>
      <w:r>
        <w:t xml:space="preserve"> novou žádanku </w:t>
      </w:r>
      <w:r w:rsidR="00686686">
        <w:t xml:space="preserve">i nový informovaný souhlas pacienta.  </w:t>
      </w:r>
    </w:p>
    <w:p w:rsidR="00686686" w:rsidRDefault="00686686" w:rsidP="00AF79A8">
      <w:pPr>
        <w:ind w:left="578"/>
      </w:pPr>
      <w:r>
        <w:t xml:space="preserve">V případě, že pro konečné vydání výsledků je nutné </w:t>
      </w:r>
      <w:proofErr w:type="spellStart"/>
      <w:r>
        <w:t>dovyšetření</w:t>
      </w:r>
      <w:proofErr w:type="spellEnd"/>
      <w:r>
        <w:t xml:space="preserve"> </w:t>
      </w:r>
      <w:r w:rsidR="00CE3B60">
        <w:t xml:space="preserve">příbuzných pacienta </w:t>
      </w:r>
      <w:r>
        <w:t>nebo případný nový odběr biologického materiálu, komunikuje s žadatelem o vyšetření vedoucí laboratoře</w:t>
      </w:r>
      <w:r w:rsidR="00FF7565">
        <w:t>, odborný garant laboratoře</w:t>
      </w:r>
      <w:r>
        <w:t xml:space="preserve"> nebo j</w:t>
      </w:r>
      <w:r w:rsidR="00FF7565">
        <w:t>imi</w:t>
      </w:r>
      <w:r>
        <w:t xml:space="preserve"> pověřený odborný pracovník.</w:t>
      </w:r>
    </w:p>
    <w:p w:rsidR="00686686" w:rsidRDefault="00686686" w:rsidP="00E323A2">
      <w:pPr>
        <w:pStyle w:val="Nadpis2"/>
      </w:pPr>
      <w:bookmarkStart w:id="57" w:name="_Toc45707723"/>
      <w:r>
        <w:t>Opakování vyšetření stejného primárního vzorku</w:t>
      </w:r>
      <w:bookmarkEnd w:id="57"/>
    </w:p>
    <w:p w:rsidR="00686686" w:rsidRDefault="00686686" w:rsidP="00AF79A8">
      <w:pPr>
        <w:autoSpaceDE w:val="0"/>
        <w:autoSpaceDN w:val="0"/>
        <w:adjustRightInd w:val="0"/>
        <w:ind w:left="578"/>
      </w:pPr>
      <w:r w:rsidRPr="002D16BB">
        <w:t xml:space="preserve">Je-li potřeba opakovat vyšetření z důvodu podezření na nesprávně vydané výsledky, </w:t>
      </w:r>
      <w:r>
        <w:t xml:space="preserve">takové </w:t>
      </w:r>
      <w:r w:rsidRPr="002D16BB">
        <w:t>vyšetření</w:t>
      </w:r>
      <w:r>
        <w:t xml:space="preserve"> </w:t>
      </w:r>
      <w:r w:rsidRPr="002D16BB">
        <w:t>provede laboratoř na vlastní náklady. V případě</w:t>
      </w:r>
      <w:r>
        <w:t xml:space="preserve">, že již primární či sekundární vzorek není k dispozici nebo je podezření na záměnu vzorků, komunikuje s žadatelem </w:t>
      </w:r>
      <w:r w:rsidRPr="002D16BB">
        <w:t>vedoucí laboratoře</w:t>
      </w:r>
      <w:r w:rsidR="00F01C11">
        <w:t>, odborný garant laboratoře nebo jimi pověřený odborný pracovník</w:t>
      </w:r>
      <w:r w:rsidRPr="002D16BB">
        <w:t>. O potřebě zopakovat vyšetření o</w:t>
      </w:r>
      <w:r>
        <w:t xml:space="preserve">kamžitě informuje žadatele, tj. </w:t>
      </w:r>
      <w:r w:rsidRPr="002D16BB">
        <w:t>indikujícího lékaře.</w:t>
      </w:r>
    </w:p>
    <w:p w:rsidR="00686686" w:rsidRDefault="00686686" w:rsidP="00E323A2">
      <w:pPr>
        <w:pStyle w:val="Nadpis1"/>
      </w:pPr>
      <w:bookmarkStart w:id="58" w:name="_Toc45707724"/>
      <w:r w:rsidRPr="00E323A2">
        <w:t>Vydávání výsledků a komunikace s laboratoří</w:t>
      </w:r>
      <w:bookmarkEnd w:id="58"/>
    </w:p>
    <w:p w:rsidR="00686686" w:rsidRDefault="00686686" w:rsidP="00E323A2">
      <w:pPr>
        <w:pStyle w:val="Nadpis2"/>
      </w:pPr>
      <w:bookmarkStart w:id="59" w:name="_Toc45707725"/>
      <w:r>
        <w:t>Informace o formách vydávání výsledků</w:t>
      </w:r>
      <w:bookmarkEnd w:id="59"/>
    </w:p>
    <w:p w:rsidR="00686686" w:rsidRDefault="00686686" w:rsidP="00B623FF">
      <w:pPr>
        <w:ind w:left="578"/>
      </w:pPr>
      <w:r>
        <w:t xml:space="preserve">Laboratoř používá v současné době primárně vydávání výsledků v tištěné formě výsledkových listů přes laboratorní informační systém. Před vydáním jsou výsledky kontrolované pracovníkem provádějícím příslušné vyšetření a zároveň odpovědnou osobou se specializovanou způsobilostí. </w:t>
      </w:r>
      <w:r w:rsidRPr="003018D0">
        <w:t xml:space="preserve">Výsledkové listy jsou vytištěny </w:t>
      </w:r>
      <w:r>
        <w:t xml:space="preserve">a podepsané </w:t>
      </w:r>
      <w:r w:rsidR="00D55795">
        <w:t xml:space="preserve">minimálně </w:t>
      </w:r>
      <w:r>
        <w:t xml:space="preserve">2 </w:t>
      </w:r>
      <w:r>
        <w:lastRenderedPageBreak/>
        <w:t>pracovníky laboratoře odeslány poštou indikujícím lékařům</w:t>
      </w:r>
      <w:r w:rsidRPr="003018D0">
        <w:t xml:space="preserve"> </w:t>
      </w:r>
      <w:r>
        <w:t>a kopie výsledkového listu s podpisy je zařazena</w:t>
      </w:r>
      <w:r w:rsidRPr="003018D0">
        <w:t xml:space="preserve"> do laboratorní</w:t>
      </w:r>
      <w:r>
        <w:t xml:space="preserve"> dokumentace pacienta</w:t>
      </w:r>
      <w:r w:rsidRPr="003018D0">
        <w:t>.</w:t>
      </w:r>
      <w:r>
        <w:t xml:space="preserve"> Sdělení a vysvětlení výsledků DNA vyšetření pacientovi provádí vždy indikující lékař s odpovídající odborností. Při interpretaci výsledků je důležité brát v úvahu doporučení odborných společností a platnou legislativu. </w:t>
      </w:r>
    </w:p>
    <w:p w:rsidR="00686686" w:rsidRPr="00D55795" w:rsidRDefault="00686686" w:rsidP="00B623FF">
      <w:pPr>
        <w:ind w:left="578"/>
        <w:rPr>
          <w:szCs w:val="22"/>
        </w:rPr>
      </w:pPr>
      <w:r w:rsidRPr="00D55795">
        <w:rPr>
          <w:szCs w:val="22"/>
        </w:rPr>
        <w:t xml:space="preserve">Telefonicky se výsledky sdělují indikujícímu lékaři pouze v případě nebezpečí z prodlení nebo při řešení určitého problému, a to v případě, že nevzniká pochybnost o totožnosti osoby, které je výsledek sdělován. Výsledek sděluje jen odborný pracovník, který schvaluje výsledky vyšetření, nebo vedoucí laboratoře. Laboratorní pracovník si vždy vyžádá pro ověření opakování sdělovaného výsledku. </w:t>
      </w:r>
    </w:p>
    <w:p w:rsidR="00686686" w:rsidRPr="00D55795" w:rsidRDefault="00686686" w:rsidP="000A5353">
      <w:pPr>
        <w:ind w:left="578"/>
        <w:rPr>
          <w:szCs w:val="22"/>
        </w:rPr>
      </w:pPr>
      <w:r w:rsidRPr="00D55795">
        <w:rPr>
          <w:szCs w:val="22"/>
        </w:rPr>
        <w:t>O výsledcích vyšetření informuje pacienta výhradně lékař, který vyšetření indikoval.</w:t>
      </w:r>
    </w:p>
    <w:p w:rsidR="00686686" w:rsidRDefault="00686686" w:rsidP="00E323A2">
      <w:pPr>
        <w:pStyle w:val="Nadpis2"/>
      </w:pPr>
      <w:bookmarkStart w:id="60" w:name="_Toc45707726"/>
      <w:r>
        <w:t>Změny výsledků a nálezů</w:t>
      </w:r>
      <w:bookmarkEnd w:id="60"/>
    </w:p>
    <w:p w:rsidR="00686686" w:rsidRPr="00FF7A39" w:rsidRDefault="00686686" w:rsidP="000A566D">
      <w:pPr>
        <w:autoSpaceDE w:val="0"/>
        <w:autoSpaceDN w:val="0"/>
        <w:adjustRightInd w:val="0"/>
        <w:ind w:left="578"/>
        <w:rPr>
          <w:szCs w:val="22"/>
          <w:lang w:eastAsia="en-US"/>
        </w:rPr>
      </w:pPr>
      <w:r w:rsidRPr="00FF7A39">
        <w:rPr>
          <w:szCs w:val="22"/>
          <w:lang w:eastAsia="en-US"/>
        </w:rPr>
        <w:t xml:space="preserve">Všechny procesy jsou v laboratoři nastaveny tak, aby ke změně </w:t>
      </w:r>
      <w:r>
        <w:rPr>
          <w:szCs w:val="22"/>
          <w:lang w:eastAsia="en-US"/>
        </w:rPr>
        <w:t xml:space="preserve">konečných </w:t>
      </w:r>
      <w:r w:rsidRPr="00FF7A39">
        <w:rPr>
          <w:szCs w:val="22"/>
          <w:lang w:eastAsia="en-US"/>
        </w:rPr>
        <w:t>výsledků nedocházelo. Pokud by k ní došlo, je zaznamenán datum a jméno osoby, která změnu dodatečně provedla. V případě, že laboratoř zjistí chybně vydaný</w:t>
      </w:r>
      <w:r>
        <w:rPr>
          <w:szCs w:val="22"/>
          <w:lang w:eastAsia="en-US"/>
        </w:rPr>
        <w:t xml:space="preserve"> nález, komunikuje s žadatelem </w:t>
      </w:r>
      <w:r w:rsidRPr="00FF7A39">
        <w:rPr>
          <w:szCs w:val="22"/>
          <w:lang w:eastAsia="en-US"/>
        </w:rPr>
        <w:t xml:space="preserve">vedoucí laboratoře </w:t>
      </w:r>
      <w:r>
        <w:rPr>
          <w:szCs w:val="22"/>
          <w:lang w:eastAsia="en-US"/>
        </w:rPr>
        <w:t>popřípadě jeho zástupce</w:t>
      </w:r>
      <w:r w:rsidRPr="00FF7A39">
        <w:rPr>
          <w:szCs w:val="22"/>
          <w:lang w:eastAsia="en-US"/>
        </w:rPr>
        <w:t xml:space="preserve">. Žadateli o vyšetření (indikujícímu lékaři) je dodán nový výsledkový list </w:t>
      </w:r>
      <w:r>
        <w:rPr>
          <w:szCs w:val="22"/>
          <w:lang w:eastAsia="en-US"/>
        </w:rPr>
        <w:t>s opravami</w:t>
      </w:r>
      <w:r w:rsidRPr="00FF7A39">
        <w:rPr>
          <w:szCs w:val="22"/>
          <w:lang w:eastAsia="en-US"/>
        </w:rPr>
        <w:t>.</w:t>
      </w:r>
    </w:p>
    <w:p w:rsidR="00686686" w:rsidRPr="00FF7A39" w:rsidRDefault="00686686" w:rsidP="000A566D">
      <w:pPr>
        <w:autoSpaceDE w:val="0"/>
        <w:autoSpaceDN w:val="0"/>
        <w:adjustRightInd w:val="0"/>
        <w:ind w:left="578"/>
        <w:rPr>
          <w:szCs w:val="22"/>
          <w:lang w:eastAsia="en-US"/>
        </w:rPr>
      </w:pPr>
      <w:r w:rsidRPr="00FF7A39">
        <w:rPr>
          <w:szCs w:val="22"/>
          <w:lang w:eastAsia="en-US"/>
        </w:rPr>
        <w:t xml:space="preserve">Pokud je výsledek změněn, je žadatel informován o změně výsledků a nový výsledkový list je mu zaslán s novým datem a hodinou tisku a s informací o změně výsledku. Nový výsledkový list je mu zaslán s průvodním a omluvným dopisem se základními identifikačními údaji pacienta a důvodu vydávání nového revidovaného výsledkového listu. V novém výsledkovém listu musí být uvedeno „Oprava výsledku pacienta </w:t>
      </w:r>
      <w:r w:rsidRPr="00FF7A39">
        <w:rPr>
          <w:i/>
          <w:szCs w:val="22"/>
          <w:lang w:eastAsia="en-US"/>
        </w:rPr>
        <w:t>jméno, příjmení</w:t>
      </w:r>
      <w:r w:rsidRPr="00FF7A39">
        <w:rPr>
          <w:szCs w:val="22"/>
          <w:lang w:eastAsia="en-US"/>
        </w:rPr>
        <w:t xml:space="preserve">. Tato výsledková zpráva nahrazuje zprávu ze dne </w:t>
      </w:r>
      <w:r w:rsidRPr="00FF7A39">
        <w:rPr>
          <w:i/>
          <w:szCs w:val="22"/>
          <w:lang w:eastAsia="en-US"/>
        </w:rPr>
        <w:t>DD.MM.RRRR</w:t>
      </w:r>
      <w:r w:rsidRPr="00FF7A39">
        <w:rPr>
          <w:szCs w:val="22"/>
          <w:lang w:eastAsia="en-US"/>
        </w:rPr>
        <w:t>. prosíme o skartaci původního výsledku!“. Revidovaný výsledek je v elektronické i tištěné formě jednoznačně označen.</w:t>
      </w:r>
    </w:p>
    <w:p w:rsidR="00686686" w:rsidRPr="00FF7A39" w:rsidRDefault="00686686" w:rsidP="00E323A2">
      <w:pPr>
        <w:pStyle w:val="Nadpis2"/>
      </w:pPr>
      <w:bookmarkStart w:id="61" w:name="_Toc45707727"/>
      <w:r w:rsidRPr="00FF7A39">
        <w:t xml:space="preserve">Intervaly od dodání </w:t>
      </w:r>
      <w:r>
        <w:t xml:space="preserve">biologického </w:t>
      </w:r>
      <w:r w:rsidRPr="00FF7A39">
        <w:t>materiálu k vydání výsledků</w:t>
      </w:r>
      <w:bookmarkEnd w:id="61"/>
    </w:p>
    <w:p w:rsidR="00686686" w:rsidRPr="000E1AF5" w:rsidRDefault="00686686" w:rsidP="00F36D8A">
      <w:pPr>
        <w:autoSpaceDE w:val="0"/>
        <w:autoSpaceDN w:val="0"/>
        <w:adjustRightInd w:val="0"/>
        <w:ind w:left="578"/>
        <w:rPr>
          <w:szCs w:val="22"/>
          <w:lang w:eastAsia="en-US"/>
        </w:rPr>
      </w:pPr>
      <w:r w:rsidRPr="00FF7A39">
        <w:rPr>
          <w:szCs w:val="22"/>
          <w:lang w:eastAsia="en-US"/>
        </w:rPr>
        <w:t xml:space="preserve">Vzorky jsou průběžně zpracovávány podle požadovaného vyšetření v pořadí, ve kterém jsou </w:t>
      </w:r>
      <w:r w:rsidRPr="000E1AF5">
        <w:rPr>
          <w:szCs w:val="22"/>
          <w:lang w:eastAsia="en-US"/>
        </w:rPr>
        <w:t xml:space="preserve">přijímány do laboratoře. Výjimku tvoří vzorky označené STATIM – ty jsou zpracovávány přednostně. Doba odezvy vzorků, tj. časový interval od dodání vzorku do laboratoře do doby </w:t>
      </w:r>
      <w:r w:rsidRPr="000E1AF5">
        <w:rPr>
          <w:szCs w:val="22"/>
        </w:rPr>
        <w:t xml:space="preserve">uvolnění výsledku vyšetření, se </w:t>
      </w:r>
      <w:r w:rsidRPr="000E1AF5">
        <w:rPr>
          <w:szCs w:val="22"/>
          <w:lang w:eastAsia="en-US"/>
        </w:rPr>
        <w:t xml:space="preserve">pro jednotlivé diagnózy a zejména jednotlivá vyšetření liší dle rozsahu, náročnosti a povahy požadovaného vyšetření. Termíny vyhotovení vyšetření jsou dostupné v Příloze č.1 LP - Přehled poskytovaných vyšetření na webových stránkách </w:t>
      </w:r>
      <w:hyperlink r:id="rId18" w:history="1">
        <w:r w:rsidR="00ED7A57" w:rsidRPr="00ED7A57">
          <w:rPr>
            <w:rStyle w:val="Hypertextovodkaz"/>
            <w:szCs w:val="22"/>
            <w:lang w:eastAsia="en-US"/>
          </w:rPr>
          <w:t>https://www.fnmotol.cz/neurogeneticka-laborator/</w:t>
        </w:r>
      </w:hyperlink>
      <w:r w:rsidR="00ED7A57">
        <w:rPr>
          <w:szCs w:val="22"/>
          <w:lang w:eastAsia="en-US"/>
        </w:rPr>
        <w:t>.</w:t>
      </w:r>
    </w:p>
    <w:p w:rsidR="00686686" w:rsidRPr="000E1AF5" w:rsidRDefault="00686686" w:rsidP="00D96221">
      <w:pPr>
        <w:autoSpaceDE w:val="0"/>
        <w:autoSpaceDN w:val="0"/>
        <w:adjustRightInd w:val="0"/>
        <w:ind w:left="578"/>
        <w:rPr>
          <w:szCs w:val="22"/>
          <w:u w:val="single"/>
          <w:lang w:eastAsia="en-US"/>
        </w:rPr>
      </w:pPr>
      <w:r w:rsidRPr="000E1AF5">
        <w:rPr>
          <w:szCs w:val="22"/>
          <w:u w:val="single"/>
          <w:lang w:eastAsia="en-US"/>
        </w:rPr>
        <w:t>Nedodržení očekávaného času dodání výsledku</w:t>
      </w:r>
    </w:p>
    <w:p w:rsidR="00686686" w:rsidRDefault="00686686" w:rsidP="00D96221">
      <w:pPr>
        <w:autoSpaceDE w:val="0"/>
        <w:autoSpaceDN w:val="0"/>
        <w:adjustRightInd w:val="0"/>
        <w:ind w:left="578"/>
        <w:rPr>
          <w:szCs w:val="22"/>
          <w:lang w:eastAsia="en-US"/>
        </w:rPr>
      </w:pPr>
      <w:r w:rsidRPr="00D96221">
        <w:rPr>
          <w:szCs w:val="22"/>
          <w:lang w:eastAsia="en-US"/>
        </w:rPr>
        <w:lastRenderedPageBreak/>
        <w:t>V laboratoři se mohou vyskytnout</w:t>
      </w:r>
      <w:r>
        <w:rPr>
          <w:szCs w:val="22"/>
          <w:lang w:eastAsia="en-US"/>
        </w:rPr>
        <w:t xml:space="preserve"> neočekávané provozní problémy, </w:t>
      </w:r>
      <w:r w:rsidRPr="00D96221">
        <w:rPr>
          <w:szCs w:val="22"/>
          <w:lang w:eastAsia="en-US"/>
        </w:rPr>
        <w:t>n</w:t>
      </w:r>
      <w:r>
        <w:rPr>
          <w:szCs w:val="22"/>
          <w:lang w:eastAsia="en-US"/>
        </w:rPr>
        <w:t xml:space="preserve">apř. porucha přístroje, havárie, onemocnění, výpadek </w:t>
      </w:r>
      <w:r w:rsidRPr="00D96221">
        <w:rPr>
          <w:szCs w:val="22"/>
          <w:lang w:eastAsia="en-US"/>
        </w:rPr>
        <w:t>elektrického proudu</w:t>
      </w:r>
      <w:r>
        <w:rPr>
          <w:szCs w:val="22"/>
          <w:lang w:eastAsia="en-US"/>
        </w:rPr>
        <w:t xml:space="preserve"> apod., kdy může dojít ke zpoždění uvolnění výsledku.</w:t>
      </w:r>
      <w:r w:rsidRPr="00D96221">
        <w:rPr>
          <w:szCs w:val="22"/>
          <w:lang w:eastAsia="en-US"/>
        </w:rPr>
        <w:t xml:space="preserve"> O změně času dodání výsledků informuje laborato</w:t>
      </w:r>
      <w:r>
        <w:rPr>
          <w:szCs w:val="22"/>
          <w:lang w:eastAsia="en-US"/>
        </w:rPr>
        <w:t xml:space="preserve">ř indikující lékaře, kterých se </w:t>
      </w:r>
      <w:r w:rsidRPr="00D96221">
        <w:rPr>
          <w:szCs w:val="22"/>
          <w:lang w:eastAsia="en-US"/>
        </w:rPr>
        <w:t>problém dotkne, a případně se domluví na přednostních vyšetřeních.</w:t>
      </w:r>
    </w:p>
    <w:p w:rsidR="00686686" w:rsidRPr="00CA4FDE" w:rsidRDefault="00686686" w:rsidP="00E323A2">
      <w:pPr>
        <w:pStyle w:val="Nadpis2"/>
      </w:pPr>
      <w:bookmarkStart w:id="62" w:name="_Toc45707728"/>
      <w:r w:rsidRPr="00CA4FDE">
        <w:t>Konzultační činnost laboratoře</w:t>
      </w:r>
      <w:bookmarkEnd w:id="62"/>
    </w:p>
    <w:p w:rsidR="00686686" w:rsidRDefault="00686686" w:rsidP="00A124E9">
      <w:pPr>
        <w:autoSpaceDE w:val="0"/>
        <w:autoSpaceDN w:val="0"/>
        <w:adjustRightInd w:val="0"/>
        <w:ind w:left="578"/>
        <w:rPr>
          <w:szCs w:val="22"/>
          <w:lang w:eastAsia="en-US"/>
        </w:rPr>
      </w:pPr>
      <w:r w:rsidRPr="00194824">
        <w:rPr>
          <w:szCs w:val="22"/>
          <w:lang w:eastAsia="en-US"/>
        </w:rPr>
        <w:t>Lékařům a žadatelům o vyšetření jsou poskytovány konzultace v odborné oblasti související</w:t>
      </w:r>
      <w:r>
        <w:rPr>
          <w:szCs w:val="22"/>
          <w:lang w:eastAsia="en-US"/>
        </w:rPr>
        <w:t xml:space="preserve"> </w:t>
      </w:r>
      <w:r w:rsidRPr="00194824">
        <w:rPr>
          <w:szCs w:val="22"/>
          <w:lang w:eastAsia="en-US"/>
        </w:rPr>
        <w:t xml:space="preserve">s laboratorními vyšetřeními. Kontakty jsou uvedeny v kapitole </w:t>
      </w:r>
      <w:r>
        <w:rPr>
          <w:szCs w:val="22"/>
          <w:lang w:eastAsia="en-US"/>
        </w:rPr>
        <w:t>1.1 této</w:t>
      </w:r>
      <w:r w:rsidRPr="00194824">
        <w:rPr>
          <w:szCs w:val="22"/>
          <w:lang w:eastAsia="en-US"/>
        </w:rPr>
        <w:t xml:space="preserve"> LP.</w:t>
      </w:r>
    </w:p>
    <w:p w:rsidR="00686686" w:rsidRPr="00CA4FDE" w:rsidRDefault="00686686" w:rsidP="00E323A2">
      <w:pPr>
        <w:pStyle w:val="Nadpis2"/>
      </w:pPr>
      <w:bookmarkStart w:id="63" w:name="_Toc45707729"/>
      <w:r w:rsidRPr="00CA4FDE">
        <w:t>Způsob řešení stížností</w:t>
      </w:r>
      <w:bookmarkEnd w:id="63"/>
    </w:p>
    <w:p w:rsidR="00686686" w:rsidRDefault="00686686" w:rsidP="00A124E9">
      <w:pPr>
        <w:autoSpaceDE w:val="0"/>
        <w:autoSpaceDN w:val="0"/>
        <w:adjustRightInd w:val="0"/>
        <w:ind w:left="578"/>
      </w:pPr>
      <w:r w:rsidRPr="00194824">
        <w:rPr>
          <w:szCs w:val="22"/>
          <w:lang w:eastAsia="en-US"/>
        </w:rPr>
        <w:t>Laboratoř přijímá veškeré připomínky, stížnosti či jiné zpětně vazebné informace, které</w:t>
      </w:r>
      <w:r>
        <w:rPr>
          <w:szCs w:val="22"/>
          <w:lang w:eastAsia="en-US"/>
        </w:rPr>
        <w:t xml:space="preserve"> </w:t>
      </w:r>
      <w:r w:rsidRPr="00194824">
        <w:rPr>
          <w:szCs w:val="22"/>
          <w:lang w:eastAsia="en-US"/>
        </w:rPr>
        <w:t xml:space="preserve">mají vliv na činnost laboratoře. Stížnost lékaře, pacienta, </w:t>
      </w:r>
      <w:proofErr w:type="spellStart"/>
      <w:r w:rsidRPr="00194824">
        <w:rPr>
          <w:szCs w:val="22"/>
          <w:lang w:eastAsia="en-US"/>
        </w:rPr>
        <w:t>even</w:t>
      </w:r>
      <w:r>
        <w:rPr>
          <w:szCs w:val="22"/>
          <w:lang w:eastAsia="en-US"/>
        </w:rPr>
        <w:t>t</w:t>
      </w:r>
      <w:proofErr w:type="spellEnd"/>
      <w:r>
        <w:rPr>
          <w:szCs w:val="22"/>
          <w:lang w:eastAsia="en-US"/>
        </w:rPr>
        <w:t xml:space="preserve">. dalších osob je podnětem pro </w:t>
      </w:r>
      <w:r w:rsidRPr="00194824">
        <w:rPr>
          <w:szCs w:val="22"/>
          <w:lang w:eastAsia="en-US"/>
        </w:rPr>
        <w:t>zlepšení práce na genetickém pracovišti a zabýváme se prošetřením každé přijaté stížnosti.</w:t>
      </w:r>
      <w:r>
        <w:rPr>
          <w:szCs w:val="22"/>
          <w:lang w:eastAsia="en-US"/>
        </w:rPr>
        <w:t xml:space="preserve"> </w:t>
      </w:r>
      <w:r w:rsidRPr="00194824">
        <w:rPr>
          <w:szCs w:val="22"/>
          <w:lang w:eastAsia="en-US"/>
        </w:rPr>
        <w:t>Veškerá opatření a aktivity v rámci kontroly kvality směřují k tomu</w:t>
      </w:r>
      <w:r>
        <w:rPr>
          <w:szCs w:val="22"/>
          <w:lang w:eastAsia="en-US"/>
        </w:rPr>
        <w:t xml:space="preserve">, aby situace vedoucí ke vzniku </w:t>
      </w:r>
      <w:r w:rsidRPr="00194824">
        <w:rPr>
          <w:szCs w:val="22"/>
          <w:lang w:eastAsia="en-US"/>
        </w:rPr>
        <w:t>stížnosti vůbec nevznikaly.</w:t>
      </w:r>
      <w:r>
        <w:rPr>
          <w:szCs w:val="22"/>
          <w:lang w:eastAsia="en-US"/>
        </w:rPr>
        <w:t xml:space="preserve"> </w:t>
      </w:r>
      <w:r w:rsidRPr="006165AC">
        <w:t xml:space="preserve">Kromě drobných připomínek k práci laboratoře, které přijímá, okamžitě řeší a následně informuje svého nadřízeného kompetentní pracovník laboratoře, je vyřizování stížností věcí vedoucího </w:t>
      </w:r>
      <w:r>
        <w:t>laboratoře</w:t>
      </w:r>
      <w:r w:rsidRPr="006165AC">
        <w:t xml:space="preserve"> </w:t>
      </w:r>
      <w:r>
        <w:t>nebo jiného pověřeného pracovníka</w:t>
      </w:r>
      <w:r w:rsidRPr="006165AC">
        <w:t xml:space="preserve"> dle povahy či závažnosti stížnosti. Stížnosti související s poskytováním zdravotních služeb jsou řešeny v souladu se směrnicí FN Motol </w:t>
      </w:r>
      <w:r w:rsidR="000E1AF5" w:rsidRPr="000E1AF5">
        <w:rPr>
          <w:i/>
        </w:rPr>
        <w:t>IOS_15/2009-3_</w:t>
      </w:r>
      <w:r w:rsidRPr="000E1AF5">
        <w:rPr>
          <w:i/>
        </w:rPr>
        <w:t>Vyřizování stížností souvisejících s</w:t>
      </w:r>
      <w:r w:rsidR="000E1AF5">
        <w:rPr>
          <w:i/>
        </w:rPr>
        <w:t> poskytováním zdravotních služeb</w:t>
      </w:r>
      <w:r w:rsidRPr="006165AC">
        <w:t>.</w:t>
      </w:r>
      <w:bookmarkStart w:id="64" w:name="_Toc1050569"/>
      <w:bookmarkStart w:id="65" w:name="_Toc1134287"/>
      <w:bookmarkStart w:id="66" w:name="_Toc25584256"/>
      <w:bookmarkStart w:id="67" w:name="_Toc1050571"/>
      <w:bookmarkStart w:id="68" w:name="_Toc1134289"/>
      <w:bookmarkStart w:id="69" w:name="_Toc25584258"/>
      <w:bookmarkStart w:id="70" w:name="_Toc1050572"/>
      <w:bookmarkStart w:id="71" w:name="_Toc1134290"/>
      <w:bookmarkStart w:id="72" w:name="_Toc25584259"/>
      <w:bookmarkStart w:id="73" w:name="_Toc1050573"/>
      <w:bookmarkStart w:id="74" w:name="_Toc1134291"/>
      <w:bookmarkStart w:id="75" w:name="_Toc25584260"/>
      <w:bookmarkStart w:id="76" w:name="_Toc1050574"/>
      <w:bookmarkStart w:id="77" w:name="_Toc1134292"/>
      <w:bookmarkStart w:id="78" w:name="_Toc25584261"/>
      <w:bookmarkStart w:id="79" w:name="_Toc1050575"/>
      <w:bookmarkStart w:id="80" w:name="_Toc1134293"/>
      <w:bookmarkStart w:id="81" w:name="_Toc25584262"/>
      <w:bookmarkStart w:id="82" w:name="_Toc35287627"/>
      <w:bookmarkStart w:id="83" w:name="_Toc35287760"/>
      <w:bookmarkStart w:id="84" w:name="_Toc35287842"/>
      <w:bookmarkStart w:id="85" w:name="_Toc5038591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686686" w:rsidRPr="00223776" w:rsidRDefault="00686686" w:rsidP="00E323A2">
      <w:pPr>
        <w:pStyle w:val="Nadpis3"/>
      </w:pPr>
      <w:bookmarkStart w:id="86" w:name="_Toc45707730"/>
      <w:r w:rsidRPr="00223776">
        <w:t>Příjem stížností</w:t>
      </w:r>
      <w:bookmarkEnd w:id="85"/>
      <w:bookmarkEnd w:id="86"/>
    </w:p>
    <w:p w:rsidR="00686686" w:rsidRDefault="00686686" w:rsidP="002E48AA">
      <w:pPr>
        <w:ind w:left="576"/>
      </w:pPr>
      <w:r w:rsidRPr="00194824">
        <w:rPr>
          <w:szCs w:val="22"/>
          <w:lang w:eastAsia="en-US"/>
        </w:rPr>
        <w:t>Každý pracovník je povinen převzít stížnost. Málo závažné stížnosti vyřeší na místě</w:t>
      </w:r>
      <w:r>
        <w:rPr>
          <w:szCs w:val="22"/>
          <w:lang w:eastAsia="en-US"/>
        </w:rPr>
        <w:t>, je-li to v jeho kompetenci,</w:t>
      </w:r>
      <w:r w:rsidRPr="00194824">
        <w:rPr>
          <w:szCs w:val="22"/>
          <w:lang w:eastAsia="en-US"/>
        </w:rPr>
        <w:t xml:space="preserve"> a informuje</w:t>
      </w:r>
      <w:r>
        <w:rPr>
          <w:szCs w:val="22"/>
          <w:lang w:eastAsia="en-US"/>
        </w:rPr>
        <w:t xml:space="preserve"> </w:t>
      </w:r>
      <w:r w:rsidRPr="00194824">
        <w:rPr>
          <w:szCs w:val="22"/>
          <w:lang w:eastAsia="en-US"/>
        </w:rPr>
        <w:t>vedoucího laboratoře</w:t>
      </w:r>
      <w:r>
        <w:rPr>
          <w:szCs w:val="22"/>
          <w:lang w:eastAsia="en-US"/>
        </w:rPr>
        <w:t xml:space="preserve"> (popřípadě jeho zástupce)</w:t>
      </w:r>
      <w:r w:rsidRPr="00194824">
        <w:rPr>
          <w:szCs w:val="22"/>
          <w:lang w:eastAsia="en-US"/>
        </w:rPr>
        <w:t>. Závažnější stížnosti před</w:t>
      </w:r>
      <w:r>
        <w:rPr>
          <w:szCs w:val="22"/>
          <w:lang w:eastAsia="en-US"/>
        </w:rPr>
        <w:t xml:space="preserve">á k řešení vedoucímu laboratoře. </w:t>
      </w:r>
      <w:r w:rsidRPr="006165AC">
        <w:t>Při zjevně neoprávněné stížnosti pracovník</w:t>
      </w:r>
      <w:r>
        <w:t xml:space="preserve"> laboratoře</w:t>
      </w:r>
      <w:r w:rsidRPr="006165AC">
        <w:t xml:space="preserve"> předává stížnost k řešení vedení laboratoře.</w:t>
      </w:r>
    </w:p>
    <w:p w:rsidR="00686686" w:rsidRPr="00E96E9E" w:rsidRDefault="00686686" w:rsidP="00E323A2">
      <w:pPr>
        <w:pStyle w:val="Nadpis3"/>
      </w:pPr>
      <w:bookmarkStart w:id="87" w:name="_Toc503859164"/>
      <w:bookmarkStart w:id="88" w:name="_Toc45707731"/>
      <w:r w:rsidRPr="00E96E9E">
        <w:t>Vyřízení ústní stížnosti</w:t>
      </w:r>
      <w:bookmarkEnd w:id="87"/>
      <w:bookmarkEnd w:id="88"/>
    </w:p>
    <w:p w:rsidR="00686686" w:rsidRPr="006165AC" w:rsidRDefault="00686686" w:rsidP="002E48AA">
      <w:pPr>
        <w:ind w:left="576"/>
      </w:pPr>
      <w:r w:rsidRPr="006165AC">
        <w:t xml:space="preserve">Jde-li o drobnou připomínku k práci laboratoře a lze ji vyřešit okamžitě, učiní se tak. Tento typ stížnosti se nezaznamenává. </w:t>
      </w:r>
    </w:p>
    <w:p w:rsidR="00686686" w:rsidRPr="006165AC" w:rsidRDefault="00686686" w:rsidP="002E48AA">
      <w:pPr>
        <w:ind w:left="576"/>
      </w:pPr>
      <w:r w:rsidRPr="006165AC">
        <w:t xml:space="preserve">Závažnější stížnost, kterou lze vyřešit ihned, vyřeší pracovník, který stížnost přijal a ohlásí stížnost a její řešení vedení laboratoře, které stížnost a její řešení zaznamená do </w:t>
      </w:r>
      <w:r w:rsidRPr="00E04897">
        <w:rPr>
          <w:i/>
        </w:rPr>
        <w:t>Knihy stížností a připomínek</w:t>
      </w:r>
      <w:r w:rsidRPr="00E04897">
        <w:t>.</w:t>
      </w:r>
      <w:r w:rsidRPr="006165AC">
        <w:t xml:space="preserve"> </w:t>
      </w:r>
    </w:p>
    <w:p w:rsidR="00686686" w:rsidRPr="006165AC" w:rsidRDefault="00686686" w:rsidP="002E48AA">
      <w:pPr>
        <w:ind w:left="576"/>
      </w:pPr>
      <w:r w:rsidRPr="006165AC">
        <w:t>Není-li možné vyřešit stížnost okamžitě, sdělí se návrh řešení a způsob odpovědi.</w:t>
      </w:r>
    </w:p>
    <w:p w:rsidR="00686686" w:rsidRPr="00E96E9E" w:rsidRDefault="00686686" w:rsidP="00D2347C">
      <w:pPr>
        <w:pStyle w:val="Nadpis3"/>
      </w:pPr>
      <w:bookmarkStart w:id="89" w:name="_Toc503859165"/>
      <w:bookmarkStart w:id="90" w:name="_Toc45707732"/>
      <w:r w:rsidRPr="00E96E9E">
        <w:lastRenderedPageBreak/>
        <w:t>Vyřízení písemné stížnosti</w:t>
      </w:r>
      <w:bookmarkEnd w:id="89"/>
      <w:bookmarkEnd w:id="90"/>
    </w:p>
    <w:p w:rsidR="00686686" w:rsidRPr="006165AC" w:rsidRDefault="00686686" w:rsidP="002E48AA">
      <w:pPr>
        <w:ind w:left="576"/>
      </w:pPr>
      <w:r w:rsidRPr="006165AC">
        <w:t xml:space="preserve">Písemnou stížnost řeší vždy vedení laboratoře, stížnost se zaznamenává do </w:t>
      </w:r>
      <w:r w:rsidRPr="00E04897">
        <w:rPr>
          <w:i/>
        </w:rPr>
        <w:t>Knihy stížností a připomínek</w:t>
      </w:r>
      <w:r w:rsidRPr="00E04897">
        <w:t xml:space="preserve">. Je-li možné stížnost vyřídit ihned, </w:t>
      </w:r>
      <w:r w:rsidR="00066C8B">
        <w:t>je tak učiněno</w:t>
      </w:r>
      <w:r w:rsidRPr="00E04897">
        <w:t xml:space="preserve"> písemně.</w:t>
      </w:r>
      <w:r w:rsidRPr="006165AC">
        <w:t xml:space="preserve"> </w:t>
      </w:r>
    </w:p>
    <w:p w:rsidR="00686686" w:rsidRDefault="00686686" w:rsidP="00701A03">
      <w:pPr>
        <w:ind w:left="576"/>
      </w:pPr>
      <w:r w:rsidRPr="006165AC">
        <w:t xml:space="preserve">Není-li možné stížnost vyřešit ihned, </w:t>
      </w:r>
      <w:r w:rsidR="00297D62">
        <w:t xml:space="preserve">je </w:t>
      </w:r>
      <w:r w:rsidRPr="006165AC">
        <w:t>navr</w:t>
      </w:r>
      <w:r w:rsidR="00297D62">
        <w:t>žen</w:t>
      </w:r>
      <w:r w:rsidRPr="006165AC">
        <w:t xml:space="preserve"> postup řešení. Stěžující si osobě je ihned písemně odesláno oznámení o registraci stížnosti se stručným vyjádřením o dalším postupu vyřizování stížnosti.</w:t>
      </w:r>
    </w:p>
    <w:p w:rsidR="00686686" w:rsidRDefault="00686686" w:rsidP="001A62BD">
      <w:pPr>
        <w:spacing w:line="240" w:lineRule="auto"/>
        <w:ind w:firstLine="576"/>
        <w:jc w:val="left"/>
      </w:pPr>
    </w:p>
    <w:p w:rsidR="00686686" w:rsidRDefault="00686686" w:rsidP="001A62BD">
      <w:pPr>
        <w:spacing w:line="240" w:lineRule="auto"/>
        <w:ind w:firstLine="576"/>
        <w:jc w:val="left"/>
      </w:pPr>
    </w:p>
    <w:p w:rsidR="00F72A4B" w:rsidRDefault="00F72A4B" w:rsidP="001A62BD">
      <w:pPr>
        <w:spacing w:line="240" w:lineRule="auto"/>
        <w:ind w:firstLine="576"/>
        <w:jc w:val="left"/>
      </w:pPr>
    </w:p>
    <w:p w:rsidR="00F72A4B" w:rsidRDefault="00F72A4B" w:rsidP="001A62BD">
      <w:pPr>
        <w:spacing w:line="240" w:lineRule="auto"/>
        <w:ind w:firstLine="576"/>
        <w:jc w:val="left"/>
      </w:pPr>
    </w:p>
    <w:p w:rsidR="00F72A4B" w:rsidRDefault="00F72A4B" w:rsidP="001A62BD">
      <w:pPr>
        <w:spacing w:line="240" w:lineRule="auto"/>
        <w:ind w:firstLine="576"/>
        <w:jc w:val="left"/>
      </w:pPr>
    </w:p>
    <w:p w:rsidR="00F72A4B" w:rsidRDefault="00F72A4B" w:rsidP="001A62BD">
      <w:pPr>
        <w:spacing w:line="240" w:lineRule="auto"/>
        <w:ind w:firstLine="576"/>
        <w:jc w:val="left"/>
      </w:pPr>
    </w:p>
    <w:p w:rsidR="00686686" w:rsidRDefault="00686686" w:rsidP="001A62BD">
      <w:pPr>
        <w:spacing w:line="240" w:lineRule="auto"/>
        <w:ind w:firstLine="576"/>
        <w:jc w:val="left"/>
        <w:rPr>
          <w:szCs w:val="22"/>
        </w:rPr>
      </w:pPr>
      <w:r>
        <w:t>Zpracoval:</w:t>
      </w:r>
      <w:r>
        <w:tab/>
      </w:r>
      <w:r>
        <w:tab/>
      </w:r>
      <w:r>
        <w:tab/>
      </w:r>
      <w:r>
        <w:tab/>
      </w:r>
      <w:r>
        <w:tab/>
      </w:r>
      <w:r w:rsidRPr="0011169E">
        <w:rPr>
          <w:szCs w:val="22"/>
        </w:rPr>
        <w:t xml:space="preserve">Ing. Lucie Sedláčková, </w:t>
      </w:r>
      <w:proofErr w:type="spellStart"/>
      <w:r w:rsidRPr="0011169E">
        <w:rPr>
          <w:szCs w:val="22"/>
        </w:rPr>
        <w:t>Ph.D</w:t>
      </w:r>
      <w:proofErr w:type="spellEnd"/>
      <w:r w:rsidRPr="0011169E">
        <w:rPr>
          <w:szCs w:val="22"/>
        </w:rPr>
        <w:t>.</w:t>
      </w:r>
    </w:p>
    <w:p w:rsidR="00686686" w:rsidRDefault="00686686" w:rsidP="001A62BD">
      <w:pPr>
        <w:spacing w:line="240" w:lineRule="auto"/>
        <w:ind w:firstLine="576"/>
        <w:jc w:val="left"/>
        <w:rPr>
          <w:szCs w:val="22"/>
        </w:rPr>
      </w:pPr>
    </w:p>
    <w:p w:rsidR="00686686" w:rsidRDefault="00686686" w:rsidP="001A62BD">
      <w:pPr>
        <w:spacing w:line="240" w:lineRule="auto"/>
        <w:ind w:firstLine="576"/>
        <w:jc w:val="left"/>
        <w:rPr>
          <w:szCs w:val="22"/>
        </w:rPr>
      </w:pPr>
    </w:p>
    <w:p w:rsidR="00686686" w:rsidRDefault="00686686" w:rsidP="001A62BD">
      <w:pPr>
        <w:spacing w:line="240" w:lineRule="auto"/>
        <w:ind w:firstLine="576"/>
        <w:jc w:val="left"/>
      </w:pPr>
      <w:r>
        <w:rPr>
          <w:szCs w:val="22"/>
        </w:rPr>
        <w:t>V Praze dne 29.6.2020</w:t>
      </w:r>
      <w:r>
        <w:rPr>
          <w:szCs w:val="22"/>
        </w:rPr>
        <w:tab/>
      </w:r>
      <w:r>
        <w:rPr>
          <w:szCs w:val="22"/>
        </w:rPr>
        <w:tab/>
      </w:r>
      <w:r>
        <w:rPr>
          <w:szCs w:val="22"/>
        </w:rPr>
        <w:tab/>
      </w:r>
      <w:r>
        <w:rPr>
          <w:szCs w:val="22"/>
        </w:rPr>
        <w:tab/>
      </w:r>
    </w:p>
    <w:p w:rsidR="00686686" w:rsidRDefault="00686686" w:rsidP="001A62BD">
      <w:pPr>
        <w:ind w:left="4824" w:firstLine="132"/>
      </w:pPr>
      <w:r>
        <w:t xml:space="preserve">RNDr. Anna Uhrová </w:t>
      </w:r>
      <w:proofErr w:type="spellStart"/>
      <w:r>
        <w:t>Mészárosová</w:t>
      </w:r>
      <w:proofErr w:type="spellEnd"/>
      <w:r>
        <w:t>, PhD.</w:t>
      </w:r>
    </w:p>
    <w:p w:rsidR="00686686" w:rsidRDefault="00686686" w:rsidP="001A62BD">
      <w:pPr>
        <w:ind w:left="4824" w:firstLine="132"/>
      </w:pPr>
    </w:p>
    <w:p w:rsidR="00686686" w:rsidRDefault="00686686" w:rsidP="001A62BD">
      <w:pPr>
        <w:ind w:left="4824" w:firstLine="132"/>
      </w:pPr>
    </w:p>
    <w:p w:rsidR="00686686" w:rsidRDefault="00686686" w:rsidP="00701A03">
      <w:pPr>
        <w:ind w:left="576"/>
      </w:pPr>
    </w:p>
    <w:p w:rsidR="00C460B6" w:rsidRDefault="00686686" w:rsidP="00C460B6">
      <w:pPr>
        <w:ind w:firstLine="576"/>
      </w:pPr>
      <w:r>
        <w:t>Schválil:</w:t>
      </w:r>
      <w:r>
        <w:tab/>
      </w:r>
      <w:r>
        <w:tab/>
      </w:r>
      <w:r>
        <w:tab/>
      </w:r>
      <w:r>
        <w:tab/>
      </w:r>
      <w:r>
        <w:tab/>
      </w:r>
      <w:r>
        <w:tab/>
      </w:r>
    </w:p>
    <w:p w:rsidR="00C460B6" w:rsidRDefault="00C460B6" w:rsidP="00C460B6">
      <w:pPr>
        <w:ind w:firstLine="576"/>
      </w:pPr>
    </w:p>
    <w:p w:rsidR="00C460B6" w:rsidRDefault="00C460B6" w:rsidP="00C460B6">
      <w:pPr>
        <w:ind w:firstLine="576"/>
      </w:pPr>
      <w:r>
        <w:t xml:space="preserve">V Praze </w:t>
      </w:r>
      <w:r w:rsidRPr="00C460B6">
        <w:t>dne 16.7.2020</w:t>
      </w:r>
    </w:p>
    <w:p w:rsidR="00C460B6" w:rsidRDefault="00C460B6" w:rsidP="00C460B6">
      <w:pPr>
        <w:ind w:left="4248" w:firstLine="708"/>
      </w:pPr>
      <w:r>
        <w:t xml:space="preserve">RNDr. Anna Uhrová </w:t>
      </w:r>
      <w:proofErr w:type="spellStart"/>
      <w:r>
        <w:t>Mészárosová</w:t>
      </w:r>
      <w:proofErr w:type="spellEnd"/>
      <w:r>
        <w:t>, PhD.</w:t>
      </w:r>
    </w:p>
    <w:p w:rsidR="00686686" w:rsidRDefault="00686686" w:rsidP="00701A03">
      <w:pPr>
        <w:ind w:left="576"/>
      </w:pPr>
    </w:p>
    <w:p w:rsidR="00686686" w:rsidRPr="008707E1" w:rsidRDefault="00686686" w:rsidP="008C6350">
      <w:pPr>
        <w:ind w:firstLine="576"/>
      </w:pPr>
      <w:r>
        <w:tab/>
      </w:r>
      <w:r>
        <w:tab/>
      </w:r>
      <w:r>
        <w:tab/>
      </w:r>
      <w:r>
        <w:tab/>
      </w:r>
    </w:p>
    <w:p w:rsidR="00686686" w:rsidRDefault="00686686" w:rsidP="00701A03">
      <w:pPr>
        <w:ind w:left="578"/>
        <w:contextualSpacing/>
      </w:pPr>
    </w:p>
    <w:p w:rsidR="00F72A4B" w:rsidRDefault="00F72A4B" w:rsidP="00F72A4B">
      <w:pPr>
        <w:ind w:firstLine="432"/>
        <w:rPr>
          <w:noProof/>
          <w:color w:val="0070C0"/>
        </w:rPr>
      </w:pPr>
    </w:p>
    <w:p w:rsidR="00686686" w:rsidRPr="006165AC" w:rsidRDefault="00686686" w:rsidP="00032DCC">
      <w:pPr>
        <w:rPr>
          <w:b/>
        </w:rPr>
      </w:pPr>
    </w:p>
    <w:p w:rsidR="00686686" w:rsidRPr="006165AC" w:rsidRDefault="00686686" w:rsidP="00032DCC">
      <w:pPr>
        <w:spacing w:line="276" w:lineRule="auto"/>
      </w:pPr>
    </w:p>
    <w:p w:rsidR="00686686" w:rsidRPr="006165AC" w:rsidRDefault="00686686" w:rsidP="00032DCC">
      <w:pPr>
        <w:spacing w:line="276" w:lineRule="auto"/>
      </w:pPr>
    </w:p>
    <w:p w:rsidR="00686686" w:rsidRPr="006165AC" w:rsidRDefault="00686686" w:rsidP="00032DCC">
      <w:pPr>
        <w:spacing w:line="276" w:lineRule="auto"/>
        <w:rPr>
          <w:bCs/>
        </w:rPr>
      </w:pPr>
    </w:p>
    <w:p w:rsidR="00686686" w:rsidRDefault="00686686"/>
    <w:sectPr w:rsidR="00686686" w:rsidSect="00A44588">
      <w:headerReference w:type="default" r:id="rId19"/>
      <w:footerReference w:type="default" r:id="rId20"/>
      <w:footerReference w:type="first" r:id="rId21"/>
      <w:pgSz w:w="11906" w:h="16838"/>
      <w:pgMar w:top="1134" w:right="1418" w:bottom="85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82B" w:rsidRDefault="00DB182B" w:rsidP="00BC39BA">
      <w:pPr>
        <w:spacing w:line="240" w:lineRule="auto"/>
      </w:pPr>
      <w:r>
        <w:separator/>
      </w:r>
    </w:p>
  </w:endnote>
  <w:endnote w:type="continuationSeparator" w:id="0">
    <w:p w:rsidR="00DB182B" w:rsidRDefault="00DB182B" w:rsidP="00BC39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7A" w:rsidRPr="00582305" w:rsidRDefault="00727B7A">
    <w:pPr>
      <w:pStyle w:val="Zpat"/>
      <w:jc w:val="right"/>
      <w:rPr>
        <w:bCs/>
        <w:sz w:val="18"/>
        <w:szCs w:val="18"/>
      </w:rPr>
    </w:pPr>
    <w:r w:rsidRPr="00582305">
      <w:rPr>
        <w:sz w:val="18"/>
        <w:szCs w:val="18"/>
      </w:rPr>
      <w:t xml:space="preserve">Strana </w:t>
    </w:r>
    <w:r w:rsidR="00DF18E6" w:rsidRPr="00582305">
      <w:rPr>
        <w:bCs/>
        <w:sz w:val="18"/>
        <w:szCs w:val="18"/>
      </w:rPr>
      <w:fldChar w:fldCharType="begin"/>
    </w:r>
    <w:r w:rsidRPr="00582305">
      <w:rPr>
        <w:bCs/>
        <w:sz w:val="18"/>
        <w:szCs w:val="18"/>
      </w:rPr>
      <w:instrText>PAGE</w:instrText>
    </w:r>
    <w:r w:rsidR="00DF18E6" w:rsidRPr="00582305">
      <w:rPr>
        <w:bCs/>
        <w:sz w:val="18"/>
        <w:szCs w:val="18"/>
      </w:rPr>
      <w:fldChar w:fldCharType="separate"/>
    </w:r>
    <w:r w:rsidR="00CB5404">
      <w:rPr>
        <w:bCs/>
        <w:noProof/>
        <w:sz w:val="18"/>
        <w:szCs w:val="18"/>
      </w:rPr>
      <w:t>2</w:t>
    </w:r>
    <w:r w:rsidR="00DF18E6" w:rsidRPr="00582305">
      <w:rPr>
        <w:bCs/>
        <w:sz w:val="18"/>
        <w:szCs w:val="18"/>
      </w:rPr>
      <w:fldChar w:fldCharType="end"/>
    </w:r>
    <w:r w:rsidRPr="00582305">
      <w:rPr>
        <w:sz w:val="18"/>
        <w:szCs w:val="18"/>
      </w:rPr>
      <w:t xml:space="preserve"> z </w:t>
    </w:r>
    <w:r w:rsidR="00DF18E6" w:rsidRPr="00582305">
      <w:rPr>
        <w:bCs/>
        <w:sz w:val="18"/>
        <w:szCs w:val="18"/>
      </w:rPr>
      <w:fldChar w:fldCharType="begin"/>
    </w:r>
    <w:r w:rsidRPr="00582305">
      <w:rPr>
        <w:bCs/>
        <w:sz w:val="18"/>
        <w:szCs w:val="18"/>
      </w:rPr>
      <w:instrText>NUMPAGES</w:instrText>
    </w:r>
    <w:r w:rsidR="00DF18E6" w:rsidRPr="00582305">
      <w:rPr>
        <w:bCs/>
        <w:sz w:val="18"/>
        <w:szCs w:val="18"/>
      </w:rPr>
      <w:fldChar w:fldCharType="separate"/>
    </w:r>
    <w:r w:rsidR="00CB5404">
      <w:rPr>
        <w:bCs/>
        <w:noProof/>
        <w:sz w:val="18"/>
        <w:szCs w:val="18"/>
      </w:rPr>
      <w:t>20</w:t>
    </w:r>
    <w:r w:rsidR="00DF18E6" w:rsidRPr="00582305">
      <w:rPr>
        <w:bCs/>
        <w:sz w:val="18"/>
        <w:szCs w:val="18"/>
      </w:rPr>
      <w:fldChar w:fldCharType="end"/>
    </w:r>
  </w:p>
  <w:p w:rsidR="00727B7A" w:rsidRDefault="00727B7A">
    <w:pPr>
      <w:pStyle w:val="Zpat"/>
    </w:pPr>
    <w:r>
      <w:rPr>
        <w:vanish/>
        <w:sz w:val="18"/>
        <w:szCs w:val="18"/>
      </w:rPr>
      <w:t>Tento výtisk dokumentu má informativní charakter. Originál dokumentu se nachází v LotusLab.</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7A" w:rsidRDefault="00727B7A">
    <w:pPr>
      <w:pStyle w:val="Zpat"/>
    </w:pPr>
    <w:r>
      <w:rPr>
        <w:vanish/>
        <w:sz w:val="18"/>
        <w:szCs w:val="18"/>
      </w:rPr>
      <w:t>Tento výtisk dokumentu má informativní charakter. Originál dokumentu se nachází v LotusLab.</w:t>
    </w:r>
    <w:r>
      <w:rPr>
        <w:vanish/>
        <w:sz w:val="18"/>
        <w:szCs w:val="18"/>
      </w:rPr>
      <w:tab/>
    </w:r>
    <w:r w:rsidR="00DF18E6">
      <w:rPr>
        <w:rStyle w:val="slostrnky"/>
        <w:vanish/>
        <w:sz w:val="18"/>
        <w:szCs w:val="18"/>
      </w:rPr>
      <w:fldChar w:fldCharType="begin"/>
    </w:r>
    <w:r>
      <w:rPr>
        <w:rStyle w:val="slostrnky"/>
        <w:vanish/>
        <w:sz w:val="18"/>
        <w:szCs w:val="18"/>
      </w:rPr>
      <w:instrText xml:space="preserve"> DATE \@ "d.M.yyyy" </w:instrText>
    </w:r>
    <w:r w:rsidR="00DF18E6">
      <w:rPr>
        <w:rStyle w:val="slostrnky"/>
        <w:vanish/>
        <w:sz w:val="18"/>
        <w:szCs w:val="18"/>
      </w:rPr>
      <w:fldChar w:fldCharType="separate"/>
    </w:r>
    <w:r w:rsidR="00CB5404">
      <w:rPr>
        <w:rStyle w:val="slostrnky"/>
        <w:noProof/>
        <w:vanish/>
        <w:sz w:val="18"/>
        <w:szCs w:val="18"/>
      </w:rPr>
      <w:t>24.5.2022</w:t>
    </w:r>
    <w:r w:rsidR="00DF18E6">
      <w:rPr>
        <w:rStyle w:val="slostrnky"/>
        <w:vanish/>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82B" w:rsidRDefault="00DB182B" w:rsidP="00BC39BA">
      <w:pPr>
        <w:spacing w:line="240" w:lineRule="auto"/>
      </w:pPr>
      <w:r>
        <w:separator/>
      </w:r>
    </w:p>
  </w:footnote>
  <w:footnote w:type="continuationSeparator" w:id="0">
    <w:p w:rsidR="00DB182B" w:rsidRDefault="00DB182B" w:rsidP="00BC39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7A" w:rsidRDefault="00727B7A">
    <w:pPr>
      <w:pStyle w:val="Zhlav"/>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7"/>
      <w:gridCol w:w="2834"/>
      <w:gridCol w:w="2834"/>
    </w:tblGrid>
    <w:tr w:rsidR="00727B7A" w:rsidTr="00907AE9">
      <w:trPr>
        <w:jc w:val="center"/>
      </w:trPr>
      <w:tc>
        <w:tcPr>
          <w:tcW w:w="2837" w:type="dxa"/>
        </w:tcPr>
        <w:p w:rsidR="00727B7A" w:rsidRDefault="00727B7A" w:rsidP="00BC39BA">
          <w:pPr>
            <w:spacing w:line="240" w:lineRule="auto"/>
            <w:rPr>
              <w:noProof/>
            </w:rPr>
          </w:pPr>
          <w:r>
            <w:rPr>
              <w:noProof/>
            </w:rPr>
            <w:t>FN Motol</w:t>
          </w:r>
        </w:p>
      </w:tc>
      <w:tc>
        <w:tcPr>
          <w:tcW w:w="5668" w:type="dxa"/>
          <w:gridSpan w:val="2"/>
        </w:tcPr>
        <w:p w:rsidR="00727B7A" w:rsidRDefault="00727B7A" w:rsidP="00F35EE2">
          <w:pPr>
            <w:spacing w:line="240" w:lineRule="auto"/>
            <w:rPr>
              <w:noProof/>
            </w:rPr>
          </w:pPr>
          <w:r>
            <w:rPr>
              <w:noProof/>
            </w:rPr>
            <w:t>Klinika dětské neurologie 2. LF UK a FN Motol – Neurogenetická laboratoř</w:t>
          </w:r>
        </w:p>
      </w:tc>
    </w:tr>
    <w:tr w:rsidR="00727B7A" w:rsidTr="00907AE9">
      <w:trPr>
        <w:jc w:val="center"/>
      </w:trPr>
      <w:tc>
        <w:tcPr>
          <w:tcW w:w="8505" w:type="dxa"/>
          <w:gridSpan w:val="3"/>
        </w:tcPr>
        <w:p w:rsidR="00727B7A" w:rsidRDefault="00727B7A" w:rsidP="00BC39BA">
          <w:pPr>
            <w:spacing w:line="240" w:lineRule="auto"/>
            <w:rPr>
              <w:noProof/>
            </w:rPr>
          </w:pPr>
          <w:r>
            <w:rPr>
              <w:noProof/>
            </w:rPr>
            <w:t>Laboratorní příručka</w:t>
          </w:r>
        </w:p>
      </w:tc>
    </w:tr>
    <w:tr w:rsidR="00727B7A" w:rsidTr="00907AE9">
      <w:trPr>
        <w:jc w:val="center"/>
      </w:trPr>
      <w:tc>
        <w:tcPr>
          <w:tcW w:w="8505" w:type="dxa"/>
          <w:gridSpan w:val="3"/>
        </w:tcPr>
        <w:p w:rsidR="00727B7A" w:rsidRPr="0037684C" w:rsidRDefault="00727B7A" w:rsidP="00F35EE2">
          <w:pPr>
            <w:spacing w:line="240" w:lineRule="auto"/>
            <w:rPr>
              <w:noProof/>
            </w:rPr>
          </w:pPr>
          <w:r w:rsidRPr="0037684C">
            <w:rPr>
              <w:noProof/>
            </w:rPr>
            <w:t>ILP_</w:t>
          </w:r>
          <w:r>
            <w:rPr>
              <w:noProof/>
            </w:rPr>
            <w:t>NGL</w:t>
          </w:r>
          <w:r w:rsidRPr="0037684C">
            <w:rPr>
              <w:noProof/>
            </w:rPr>
            <w:t>_</w:t>
          </w:r>
          <w:r>
            <w:rPr>
              <w:noProof/>
            </w:rPr>
            <w:t>0</w:t>
          </w:r>
          <w:r w:rsidRPr="008232A1">
            <w:rPr>
              <w:noProof/>
            </w:rPr>
            <w:t>1/2</w:t>
          </w:r>
          <w:r>
            <w:rPr>
              <w:noProof/>
            </w:rPr>
            <w:t>020</w:t>
          </w:r>
        </w:p>
      </w:tc>
    </w:tr>
    <w:tr w:rsidR="00727B7A" w:rsidTr="00907AE9">
      <w:trPr>
        <w:jc w:val="center"/>
      </w:trPr>
      <w:tc>
        <w:tcPr>
          <w:tcW w:w="2837" w:type="dxa"/>
        </w:tcPr>
        <w:p w:rsidR="00727B7A" w:rsidRDefault="00727B7A" w:rsidP="006150E5">
          <w:pPr>
            <w:spacing w:line="240" w:lineRule="auto"/>
            <w:rPr>
              <w:noProof/>
            </w:rPr>
          </w:pPr>
          <w:r>
            <w:rPr>
              <w:noProof/>
            </w:rPr>
            <w:t>Datum vydání: 1.9.2020</w:t>
          </w:r>
        </w:p>
      </w:tc>
      <w:tc>
        <w:tcPr>
          <w:tcW w:w="2834" w:type="dxa"/>
        </w:tcPr>
        <w:p w:rsidR="00727B7A" w:rsidRPr="00AB3901" w:rsidRDefault="00727B7A" w:rsidP="000A4BBC">
          <w:pPr>
            <w:spacing w:line="240" w:lineRule="auto"/>
            <w:rPr>
              <w:noProof/>
            </w:rPr>
          </w:pPr>
          <w:r w:rsidRPr="00AB3901">
            <w:rPr>
              <w:noProof/>
            </w:rPr>
            <w:t xml:space="preserve">Verze: </w:t>
          </w:r>
          <w:r>
            <w:rPr>
              <w:noProof/>
              <w:color w:val="0000FF"/>
              <w:shd w:val="clear" w:color="auto" w:fill="FFFFFF" w:themeFill="background1"/>
            </w:rPr>
            <w:t>4</w:t>
          </w:r>
        </w:p>
      </w:tc>
      <w:tc>
        <w:tcPr>
          <w:tcW w:w="2834" w:type="dxa"/>
        </w:tcPr>
        <w:p w:rsidR="00727B7A" w:rsidRDefault="00727B7A" w:rsidP="00BC39BA">
          <w:pPr>
            <w:spacing w:line="240" w:lineRule="auto"/>
            <w:rPr>
              <w:noProof/>
            </w:rPr>
          </w:pPr>
          <w:r>
            <w:rPr>
              <w:noProof/>
            </w:rPr>
            <w:t xml:space="preserve">Strana </w:t>
          </w:r>
          <w:r w:rsidR="00DF18E6">
            <w:rPr>
              <w:noProof/>
            </w:rPr>
            <w:fldChar w:fldCharType="begin"/>
          </w:r>
          <w:r>
            <w:rPr>
              <w:noProof/>
            </w:rPr>
            <w:instrText xml:space="preserve"> PAGE </w:instrText>
          </w:r>
          <w:r w:rsidR="00DF18E6">
            <w:rPr>
              <w:noProof/>
            </w:rPr>
            <w:fldChar w:fldCharType="separate"/>
          </w:r>
          <w:r w:rsidR="00CB5404">
            <w:rPr>
              <w:noProof/>
            </w:rPr>
            <w:t>2</w:t>
          </w:r>
          <w:r w:rsidR="00DF18E6">
            <w:rPr>
              <w:noProof/>
            </w:rPr>
            <w:fldChar w:fldCharType="end"/>
          </w:r>
          <w:r>
            <w:rPr>
              <w:noProof/>
            </w:rPr>
            <w:t xml:space="preserve"> (celkem </w:t>
          </w:r>
          <w:r w:rsidR="00DF18E6">
            <w:rPr>
              <w:noProof/>
            </w:rPr>
            <w:fldChar w:fldCharType="begin"/>
          </w:r>
          <w:r>
            <w:rPr>
              <w:noProof/>
            </w:rPr>
            <w:instrText xml:space="preserve"> NUMPAGES </w:instrText>
          </w:r>
          <w:r w:rsidR="00DF18E6">
            <w:rPr>
              <w:noProof/>
            </w:rPr>
            <w:fldChar w:fldCharType="separate"/>
          </w:r>
          <w:r w:rsidR="00CB5404">
            <w:rPr>
              <w:noProof/>
            </w:rPr>
            <w:t>20</w:t>
          </w:r>
          <w:r w:rsidR="00DF18E6">
            <w:rPr>
              <w:noProof/>
            </w:rPr>
            <w:fldChar w:fldCharType="end"/>
          </w:r>
          <w:r>
            <w:rPr>
              <w:noProof/>
            </w:rPr>
            <w:t>)</w:t>
          </w:r>
        </w:p>
      </w:tc>
    </w:tr>
  </w:tbl>
  <w:p w:rsidR="00727B7A" w:rsidRDefault="00727B7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7F6"/>
    <w:multiLevelType w:val="hybridMultilevel"/>
    <w:tmpl w:val="219480C6"/>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062039A9"/>
    <w:multiLevelType w:val="hybridMultilevel"/>
    <w:tmpl w:val="AB2069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9DE41D9"/>
    <w:multiLevelType w:val="hybridMultilevel"/>
    <w:tmpl w:val="B1942C0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A3957C6"/>
    <w:multiLevelType w:val="hybridMultilevel"/>
    <w:tmpl w:val="3D868A98"/>
    <w:lvl w:ilvl="0" w:tplc="04050001">
      <w:start w:val="1"/>
      <w:numFmt w:val="bullet"/>
      <w:lvlText w:val=""/>
      <w:lvlJc w:val="left"/>
      <w:pPr>
        <w:ind w:left="1298" w:hanging="360"/>
      </w:pPr>
      <w:rPr>
        <w:rFonts w:ascii="Symbol" w:hAnsi="Symbol" w:hint="default"/>
      </w:rPr>
    </w:lvl>
    <w:lvl w:ilvl="1" w:tplc="04050003">
      <w:start w:val="1"/>
      <w:numFmt w:val="bullet"/>
      <w:lvlText w:val="o"/>
      <w:lvlJc w:val="left"/>
      <w:pPr>
        <w:ind w:left="2018" w:hanging="360"/>
      </w:pPr>
      <w:rPr>
        <w:rFonts w:ascii="Courier New" w:hAnsi="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4">
    <w:nsid w:val="0BE03981"/>
    <w:multiLevelType w:val="hybridMultilevel"/>
    <w:tmpl w:val="F6B8A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23118D"/>
    <w:multiLevelType w:val="multilevel"/>
    <w:tmpl w:val="95A08956"/>
    <w:lvl w:ilvl="0">
      <w:start w:val="5"/>
      <w:numFmt w:val="decimal"/>
      <w:lvlText w:val="%1"/>
      <w:lvlJc w:val="left"/>
      <w:pPr>
        <w:ind w:left="2911" w:hanging="360"/>
      </w:pPr>
      <w:rPr>
        <w:rFonts w:cs="Times New Roman" w:hint="default"/>
      </w:rPr>
    </w:lvl>
    <w:lvl w:ilvl="1">
      <w:start w:val="1"/>
      <w:numFmt w:val="decimal"/>
      <w:isLgl/>
      <w:lvlText w:val="%1.%2"/>
      <w:lvlJc w:val="left"/>
      <w:pPr>
        <w:ind w:left="3127" w:hanging="360"/>
      </w:pPr>
      <w:rPr>
        <w:rFonts w:cs="Times New Roman" w:hint="default"/>
      </w:rPr>
    </w:lvl>
    <w:lvl w:ilvl="2">
      <w:start w:val="1"/>
      <w:numFmt w:val="decimal"/>
      <w:isLgl/>
      <w:lvlText w:val="%1.%2.%3"/>
      <w:lvlJc w:val="left"/>
      <w:pPr>
        <w:ind w:left="3703" w:hanging="720"/>
      </w:pPr>
      <w:rPr>
        <w:rFonts w:cs="Times New Roman" w:hint="default"/>
      </w:rPr>
    </w:lvl>
    <w:lvl w:ilvl="3">
      <w:start w:val="1"/>
      <w:numFmt w:val="decimal"/>
      <w:isLgl/>
      <w:lvlText w:val="%1.%2.%3.%4"/>
      <w:lvlJc w:val="left"/>
      <w:pPr>
        <w:ind w:left="3919" w:hanging="720"/>
      </w:pPr>
      <w:rPr>
        <w:rFonts w:cs="Times New Roman" w:hint="default"/>
      </w:rPr>
    </w:lvl>
    <w:lvl w:ilvl="4">
      <w:start w:val="1"/>
      <w:numFmt w:val="decimal"/>
      <w:isLgl/>
      <w:lvlText w:val="%1.%2.%3.%4.%5"/>
      <w:lvlJc w:val="left"/>
      <w:pPr>
        <w:ind w:left="4495" w:hanging="1080"/>
      </w:pPr>
      <w:rPr>
        <w:rFonts w:cs="Times New Roman" w:hint="default"/>
      </w:rPr>
    </w:lvl>
    <w:lvl w:ilvl="5">
      <w:start w:val="1"/>
      <w:numFmt w:val="decimal"/>
      <w:isLgl/>
      <w:lvlText w:val="%1.%2.%3.%4.%5.%6"/>
      <w:lvlJc w:val="left"/>
      <w:pPr>
        <w:ind w:left="4711" w:hanging="1080"/>
      </w:pPr>
      <w:rPr>
        <w:rFonts w:cs="Times New Roman" w:hint="default"/>
      </w:rPr>
    </w:lvl>
    <w:lvl w:ilvl="6">
      <w:start w:val="1"/>
      <w:numFmt w:val="decimal"/>
      <w:isLgl/>
      <w:lvlText w:val="%1.%2.%3.%4.%5.%6.%7"/>
      <w:lvlJc w:val="left"/>
      <w:pPr>
        <w:ind w:left="5287" w:hanging="1440"/>
      </w:pPr>
      <w:rPr>
        <w:rFonts w:cs="Times New Roman" w:hint="default"/>
      </w:rPr>
    </w:lvl>
    <w:lvl w:ilvl="7">
      <w:start w:val="1"/>
      <w:numFmt w:val="decimal"/>
      <w:isLgl/>
      <w:lvlText w:val="%1.%2.%3.%4.%5.%6.%7.%8"/>
      <w:lvlJc w:val="left"/>
      <w:pPr>
        <w:ind w:left="5503" w:hanging="1440"/>
      </w:pPr>
      <w:rPr>
        <w:rFonts w:cs="Times New Roman" w:hint="default"/>
      </w:rPr>
    </w:lvl>
    <w:lvl w:ilvl="8">
      <w:start w:val="1"/>
      <w:numFmt w:val="decimal"/>
      <w:isLgl/>
      <w:lvlText w:val="%1.%2.%3.%4.%5.%6.%7.%8.%9"/>
      <w:lvlJc w:val="left"/>
      <w:pPr>
        <w:ind w:left="5719" w:hanging="1440"/>
      </w:pPr>
      <w:rPr>
        <w:rFonts w:cs="Times New Roman" w:hint="default"/>
      </w:rPr>
    </w:lvl>
  </w:abstractNum>
  <w:abstractNum w:abstractNumId="6">
    <w:nsid w:val="1D297197"/>
    <w:multiLevelType w:val="hybridMultilevel"/>
    <w:tmpl w:val="950C80DE"/>
    <w:lvl w:ilvl="0" w:tplc="04050001">
      <w:start w:val="1"/>
      <w:numFmt w:val="bullet"/>
      <w:lvlText w:val=""/>
      <w:lvlJc w:val="left"/>
      <w:pPr>
        <w:ind w:left="720" w:hanging="360"/>
      </w:pPr>
      <w:rPr>
        <w:rFonts w:ascii="Symbol" w:hAnsi="Symbol" w:hint="default"/>
      </w:rPr>
    </w:lvl>
    <w:lvl w:ilvl="1" w:tplc="37DAEE92">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E567BF9"/>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8">
    <w:nsid w:val="26F96032"/>
    <w:multiLevelType w:val="multilevel"/>
    <w:tmpl w:val="0405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402C07BD"/>
    <w:multiLevelType w:val="hybridMultilevel"/>
    <w:tmpl w:val="16EA87CA"/>
    <w:lvl w:ilvl="0" w:tplc="04050001">
      <w:start w:val="1"/>
      <w:numFmt w:val="bullet"/>
      <w:lvlText w:val=""/>
      <w:lvlJc w:val="left"/>
      <w:pPr>
        <w:ind w:left="1298" w:hanging="360"/>
      </w:pPr>
      <w:rPr>
        <w:rFonts w:ascii="Symbol" w:hAnsi="Symbol" w:hint="default"/>
      </w:rPr>
    </w:lvl>
    <w:lvl w:ilvl="1" w:tplc="04050001">
      <w:start w:val="1"/>
      <w:numFmt w:val="bullet"/>
      <w:lvlText w:val=""/>
      <w:lvlJc w:val="left"/>
      <w:pPr>
        <w:ind w:left="2018" w:hanging="360"/>
      </w:pPr>
      <w:rPr>
        <w:rFonts w:ascii="Symbol" w:hAnsi="Symbol"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0">
    <w:nsid w:val="46394741"/>
    <w:multiLevelType w:val="hybridMultilevel"/>
    <w:tmpl w:val="95C42AAC"/>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1">
    <w:nsid w:val="47FF3C4C"/>
    <w:multiLevelType w:val="hybridMultilevel"/>
    <w:tmpl w:val="C0DEAE22"/>
    <w:lvl w:ilvl="0" w:tplc="04050001">
      <w:start w:val="1"/>
      <w:numFmt w:val="bullet"/>
      <w:lvlText w:val=""/>
      <w:lvlJc w:val="left"/>
      <w:pPr>
        <w:ind w:left="1298" w:hanging="360"/>
      </w:pPr>
      <w:rPr>
        <w:rFonts w:ascii="Symbol" w:hAnsi="Symbol" w:hint="default"/>
      </w:rPr>
    </w:lvl>
    <w:lvl w:ilvl="1" w:tplc="04050001">
      <w:start w:val="1"/>
      <w:numFmt w:val="bullet"/>
      <w:lvlText w:val=""/>
      <w:lvlJc w:val="left"/>
      <w:pPr>
        <w:ind w:left="2018" w:hanging="360"/>
      </w:pPr>
      <w:rPr>
        <w:rFonts w:ascii="Symbol" w:hAnsi="Symbol"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2">
    <w:nsid w:val="618B5B06"/>
    <w:multiLevelType w:val="hybridMultilevel"/>
    <w:tmpl w:val="A27E5ED8"/>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3">
    <w:nsid w:val="63876DC2"/>
    <w:multiLevelType w:val="hybridMultilevel"/>
    <w:tmpl w:val="0204D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8084E3E"/>
    <w:multiLevelType w:val="multilevel"/>
    <w:tmpl w:val="C3DA28FC"/>
    <w:lvl w:ilvl="0">
      <w:start w:val="6"/>
      <w:numFmt w:val="decimal"/>
      <w:lvlText w:val="%1"/>
      <w:lvlJc w:val="left"/>
      <w:pPr>
        <w:ind w:left="720" w:hanging="360"/>
      </w:pPr>
      <w:rPr>
        <w:rFonts w:cs="Times New Roman" w:hint="default"/>
      </w:rPr>
    </w:lvl>
    <w:lvl w:ilvl="1">
      <w:start w:val="1"/>
      <w:numFmt w:val="decimal"/>
      <w:isLgl/>
      <w:lvlText w:val="%1.%2"/>
      <w:lvlJc w:val="left"/>
      <w:pPr>
        <w:ind w:left="936" w:hanging="36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728" w:hanging="720"/>
      </w:pPr>
      <w:rPr>
        <w:rFonts w:cs="Times New Roman" w:hint="default"/>
      </w:rPr>
    </w:lvl>
    <w:lvl w:ilvl="4">
      <w:start w:val="1"/>
      <w:numFmt w:val="decimal"/>
      <w:isLgl/>
      <w:lvlText w:val="%1.%2.%3.%4.%5"/>
      <w:lvlJc w:val="left"/>
      <w:pPr>
        <w:ind w:left="2304"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96" w:hanging="1440"/>
      </w:pPr>
      <w:rPr>
        <w:rFonts w:cs="Times New Roman" w:hint="default"/>
      </w:rPr>
    </w:lvl>
    <w:lvl w:ilvl="7">
      <w:start w:val="1"/>
      <w:numFmt w:val="decimal"/>
      <w:isLgl/>
      <w:lvlText w:val="%1.%2.%3.%4.%5.%6.%7.%8"/>
      <w:lvlJc w:val="left"/>
      <w:pPr>
        <w:ind w:left="3312" w:hanging="1440"/>
      </w:pPr>
      <w:rPr>
        <w:rFonts w:cs="Times New Roman" w:hint="default"/>
      </w:rPr>
    </w:lvl>
    <w:lvl w:ilvl="8">
      <w:start w:val="1"/>
      <w:numFmt w:val="decimal"/>
      <w:isLgl/>
      <w:lvlText w:val="%1.%2.%3.%4.%5.%6.%7.%8.%9"/>
      <w:lvlJc w:val="left"/>
      <w:pPr>
        <w:ind w:left="3528" w:hanging="1440"/>
      </w:pPr>
      <w:rPr>
        <w:rFonts w:cs="Times New Roman" w:hint="default"/>
      </w:rPr>
    </w:lvl>
  </w:abstractNum>
  <w:abstractNum w:abstractNumId="15">
    <w:nsid w:val="69872201"/>
    <w:multiLevelType w:val="multilevel"/>
    <w:tmpl w:val="F202C49A"/>
    <w:lvl w:ilvl="0">
      <w:start w:val="5"/>
      <w:numFmt w:val="decimal"/>
      <w:lvlText w:val="%1"/>
      <w:lvlJc w:val="left"/>
      <w:pPr>
        <w:ind w:left="720" w:hanging="360"/>
      </w:pPr>
      <w:rPr>
        <w:rFonts w:cs="Times New Roman" w:hint="default"/>
      </w:rPr>
    </w:lvl>
    <w:lvl w:ilvl="1">
      <w:start w:val="2"/>
      <w:numFmt w:val="decimal"/>
      <w:isLgl/>
      <w:lvlText w:val="%1.%2"/>
      <w:lvlJc w:val="left"/>
      <w:pPr>
        <w:ind w:left="936" w:hanging="36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728" w:hanging="720"/>
      </w:pPr>
      <w:rPr>
        <w:rFonts w:cs="Times New Roman" w:hint="default"/>
      </w:rPr>
    </w:lvl>
    <w:lvl w:ilvl="4">
      <w:start w:val="1"/>
      <w:numFmt w:val="decimal"/>
      <w:isLgl/>
      <w:lvlText w:val="%1.%2.%3.%4.%5"/>
      <w:lvlJc w:val="left"/>
      <w:pPr>
        <w:ind w:left="2304"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96" w:hanging="1440"/>
      </w:pPr>
      <w:rPr>
        <w:rFonts w:cs="Times New Roman" w:hint="default"/>
      </w:rPr>
    </w:lvl>
    <w:lvl w:ilvl="7">
      <w:start w:val="1"/>
      <w:numFmt w:val="decimal"/>
      <w:isLgl/>
      <w:lvlText w:val="%1.%2.%3.%4.%5.%6.%7.%8"/>
      <w:lvlJc w:val="left"/>
      <w:pPr>
        <w:ind w:left="3312" w:hanging="1440"/>
      </w:pPr>
      <w:rPr>
        <w:rFonts w:cs="Times New Roman" w:hint="default"/>
      </w:rPr>
    </w:lvl>
    <w:lvl w:ilvl="8">
      <w:start w:val="1"/>
      <w:numFmt w:val="decimal"/>
      <w:isLgl/>
      <w:lvlText w:val="%1.%2.%3.%4.%5.%6.%7.%8.%9"/>
      <w:lvlJc w:val="left"/>
      <w:pPr>
        <w:ind w:left="3528" w:hanging="1440"/>
      </w:pPr>
      <w:rPr>
        <w:rFonts w:cs="Times New Roman" w:hint="default"/>
      </w:rPr>
    </w:lvl>
  </w:abstractNum>
  <w:abstractNum w:abstractNumId="16">
    <w:nsid w:val="6AE700FC"/>
    <w:multiLevelType w:val="hybridMultilevel"/>
    <w:tmpl w:val="E4CC2118"/>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7">
    <w:nsid w:val="7591152D"/>
    <w:multiLevelType w:val="hybridMultilevel"/>
    <w:tmpl w:val="F24C1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8F50E72"/>
    <w:multiLevelType w:val="hybridMultilevel"/>
    <w:tmpl w:val="DE865C96"/>
    <w:lvl w:ilvl="0" w:tplc="04050001">
      <w:start w:val="1"/>
      <w:numFmt w:val="bullet"/>
      <w:lvlText w:val=""/>
      <w:lvlJc w:val="left"/>
      <w:pPr>
        <w:ind w:left="1298" w:hanging="360"/>
      </w:pPr>
      <w:rPr>
        <w:rFonts w:ascii="Symbol" w:hAnsi="Symbol" w:hint="default"/>
      </w:rPr>
    </w:lvl>
    <w:lvl w:ilvl="1" w:tplc="04050003">
      <w:start w:val="1"/>
      <w:numFmt w:val="bullet"/>
      <w:lvlText w:val="o"/>
      <w:lvlJc w:val="left"/>
      <w:pPr>
        <w:ind w:left="2018" w:hanging="360"/>
      </w:pPr>
      <w:rPr>
        <w:rFonts w:ascii="Courier New" w:hAnsi="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9">
    <w:nsid w:val="7943415B"/>
    <w:multiLevelType w:val="multilevel"/>
    <w:tmpl w:val="F202C49A"/>
    <w:lvl w:ilvl="0">
      <w:start w:val="5"/>
      <w:numFmt w:val="decimal"/>
      <w:lvlText w:val="%1"/>
      <w:lvlJc w:val="left"/>
      <w:pPr>
        <w:ind w:left="2911" w:hanging="360"/>
      </w:pPr>
      <w:rPr>
        <w:rFonts w:cs="Times New Roman" w:hint="default"/>
      </w:rPr>
    </w:lvl>
    <w:lvl w:ilvl="1">
      <w:start w:val="2"/>
      <w:numFmt w:val="decimal"/>
      <w:isLgl/>
      <w:lvlText w:val="%1.%2"/>
      <w:lvlJc w:val="left"/>
      <w:pPr>
        <w:ind w:left="3127" w:hanging="360"/>
      </w:pPr>
      <w:rPr>
        <w:rFonts w:cs="Times New Roman" w:hint="default"/>
      </w:rPr>
    </w:lvl>
    <w:lvl w:ilvl="2">
      <w:start w:val="1"/>
      <w:numFmt w:val="decimal"/>
      <w:isLgl/>
      <w:lvlText w:val="%1.%2.%3"/>
      <w:lvlJc w:val="left"/>
      <w:pPr>
        <w:ind w:left="3703" w:hanging="720"/>
      </w:pPr>
      <w:rPr>
        <w:rFonts w:cs="Times New Roman" w:hint="default"/>
      </w:rPr>
    </w:lvl>
    <w:lvl w:ilvl="3">
      <w:start w:val="1"/>
      <w:numFmt w:val="decimal"/>
      <w:isLgl/>
      <w:lvlText w:val="%1.%2.%3.%4"/>
      <w:lvlJc w:val="left"/>
      <w:pPr>
        <w:ind w:left="3919" w:hanging="720"/>
      </w:pPr>
      <w:rPr>
        <w:rFonts w:cs="Times New Roman" w:hint="default"/>
      </w:rPr>
    </w:lvl>
    <w:lvl w:ilvl="4">
      <w:start w:val="1"/>
      <w:numFmt w:val="decimal"/>
      <w:isLgl/>
      <w:lvlText w:val="%1.%2.%3.%4.%5"/>
      <w:lvlJc w:val="left"/>
      <w:pPr>
        <w:ind w:left="4495" w:hanging="1080"/>
      </w:pPr>
      <w:rPr>
        <w:rFonts w:cs="Times New Roman" w:hint="default"/>
      </w:rPr>
    </w:lvl>
    <w:lvl w:ilvl="5">
      <w:start w:val="1"/>
      <w:numFmt w:val="decimal"/>
      <w:isLgl/>
      <w:lvlText w:val="%1.%2.%3.%4.%5.%6"/>
      <w:lvlJc w:val="left"/>
      <w:pPr>
        <w:ind w:left="4711" w:hanging="1080"/>
      </w:pPr>
      <w:rPr>
        <w:rFonts w:cs="Times New Roman" w:hint="default"/>
      </w:rPr>
    </w:lvl>
    <w:lvl w:ilvl="6">
      <w:start w:val="1"/>
      <w:numFmt w:val="decimal"/>
      <w:isLgl/>
      <w:lvlText w:val="%1.%2.%3.%4.%5.%6.%7"/>
      <w:lvlJc w:val="left"/>
      <w:pPr>
        <w:ind w:left="5287" w:hanging="1440"/>
      </w:pPr>
      <w:rPr>
        <w:rFonts w:cs="Times New Roman" w:hint="default"/>
      </w:rPr>
    </w:lvl>
    <w:lvl w:ilvl="7">
      <w:start w:val="1"/>
      <w:numFmt w:val="decimal"/>
      <w:isLgl/>
      <w:lvlText w:val="%1.%2.%3.%4.%5.%6.%7.%8"/>
      <w:lvlJc w:val="left"/>
      <w:pPr>
        <w:ind w:left="5503" w:hanging="1440"/>
      </w:pPr>
      <w:rPr>
        <w:rFonts w:cs="Times New Roman" w:hint="default"/>
      </w:rPr>
    </w:lvl>
    <w:lvl w:ilvl="8">
      <w:start w:val="1"/>
      <w:numFmt w:val="decimal"/>
      <w:isLgl/>
      <w:lvlText w:val="%1.%2.%3.%4.%5.%6.%7.%8.%9"/>
      <w:lvlJc w:val="left"/>
      <w:pPr>
        <w:ind w:left="5719" w:hanging="1440"/>
      </w:pPr>
      <w:rPr>
        <w:rFonts w:cs="Times New Roman" w:hint="default"/>
      </w:rPr>
    </w:lvl>
  </w:abstractNum>
  <w:abstractNum w:abstractNumId="20">
    <w:nsid w:val="7F4B36E1"/>
    <w:multiLevelType w:val="multilevel"/>
    <w:tmpl w:val="B7C24572"/>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7"/>
  </w:num>
  <w:num w:numId="2">
    <w:abstractNumId w:val="13"/>
  </w:num>
  <w:num w:numId="3">
    <w:abstractNumId w:val="17"/>
  </w:num>
  <w:num w:numId="4">
    <w:abstractNumId w:val="4"/>
  </w:num>
  <w:num w:numId="5">
    <w:abstractNumId w:val="20"/>
  </w:num>
  <w:num w:numId="6">
    <w:abstractNumId w:val="1"/>
  </w:num>
  <w:num w:numId="7">
    <w:abstractNumId w:val="15"/>
  </w:num>
  <w:num w:numId="8">
    <w:abstractNumId w:val="14"/>
  </w:num>
  <w:num w:numId="9">
    <w:abstractNumId w:val="0"/>
  </w:num>
  <w:num w:numId="10">
    <w:abstractNumId w:val="16"/>
  </w:num>
  <w:num w:numId="11">
    <w:abstractNumId w:val="6"/>
  </w:num>
  <w:num w:numId="12">
    <w:abstractNumId w:val="8"/>
  </w:num>
  <w:num w:numId="13">
    <w:abstractNumId w:val="7"/>
  </w:num>
  <w:num w:numId="14">
    <w:abstractNumId w:val="7"/>
  </w:num>
  <w:num w:numId="15">
    <w:abstractNumId w:val="7"/>
  </w:num>
  <w:num w:numId="16">
    <w:abstractNumId w:val="10"/>
  </w:num>
  <w:num w:numId="17">
    <w:abstractNumId w:val="2"/>
  </w:num>
  <w:num w:numId="18">
    <w:abstractNumId w:val="18"/>
  </w:num>
  <w:num w:numId="19">
    <w:abstractNumId w:val="11"/>
  </w:num>
  <w:num w:numId="20">
    <w:abstractNumId w:val="3"/>
  </w:num>
  <w:num w:numId="21">
    <w:abstractNumId w:val="9"/>
  </w:num>
  <w:num w:numId="22">
    <w:abstractNumId w:val="12"/>
  </w:num>
  <w:num w:numId="23">
    <w:abstractNumId w:val="7"/>
  </w:num>
  <w:num w:numId="24">
    <w:abstractNumId w:val="19"/>
  </w:num>
  <w:num w:numId="25">
    <w:abstractNumId w:val="7"/>
  </w:num>
  <w:num w:numId="26">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322C"/>
    <w:rsid w:val="00010559"/>
    <w:rsid w:val="0002107B"/>
    <w:rsid w:val="00032DCC"/>
    <w:rsid w:val="0003717D"/>
    <w:rsid w:val="00042ABB"/>
    <w:rsid w:val="00042FFA"/>
    <w:rsid w:val="00047BC5"/>
    <w:rsid w:val="00050B23"/>
    <w:rsid w:val="000519DE"/>
    <w:rsid w:val="00052756"/>
    <w:rsid w:val="00053B6E"/>
    <w:rsid w:val="0006351C"/>
    <w:rsid w:val="00066C8B"/>
    <w:rsid w:val="00067969"/>
    <w:rsid w:val="00071F8D"/>
    <w:rsid w:val="00074613"/>
    <w:rsid w:val="00075BB8"/>
    <w:rsid w:val="0007721A"/>
    <w:rsid w:val="0008196A"/>
    <w:rsid w:val="000904B8"/>
    <w:rsid w:val="000933DD"/>
    <w:rsid w:val="000A4BBC"/>
    <w:rsid w:val="000A5353"/>
    <w:rsid w:val="000A566D"/>
    <w:rsid w:val="000B12DE"/>
    <w:rsid w:val="000B22CB"/>
    <w:rsid w:val="000B58E6"/>
    <w:rsid w:val="000C1588"/>
    <w:rsid w:val="000C76BE"/>
    <w:rsid w:val="000D16C8"/>
    <w:rsid w:val="000D3AE1"/>
    <w:rsid w:val="000E1AF5"/>
    <w:rsid w:val="000E2621"/>
    <w:rsid w:val="000F235B"/>
    <w:rsid w:val="000F4138"/>
    <w:rsid w:val="000F4E27"/>
    <w:rsid w:val="000F63AA"/>
    <w:rsid w:val="0011169E"/>
    <w:rsid w:val="0011706B"/>
    <w:rsid w:val="001217FF"/>
    <w:rsid w:val="00126496"/>
    <w:rsid w:val="00130EDF"/>
    <w:rsid w:val="00143CED"/>
    <w:rsid w:val="001440C3"/>
    <w:rsid w:val="00156265"/>
    <w:rsid w:val="00166865"/>
    <w:rsid w:val="001824D4"/>
    <w:rsid w:val="001925E6"/>
    <w:rsid w:val="00194824"/>
    <w:rsid w:val="001965DF"/>
    <w:rsid w:val="001A62BD"/>
    <w:rsid w:val="001C0C73"/>
    <w:rsid w:val="001C46DC"/>
    <w:rsid w:val="001D6621"/>
    <w:rsid w:val="001E015C"/>
    <w:rsid w:val="001E16A8"/>
    <w:rsid w:val="001E52E5"/>
    <w:rsid w:val="001E65C3"/>
    <w:rsid w:val="001E6791"/>
    <w:rsid w:val="001E78FD"/>
    <w:rsid w:val="002212CF"/>
    <w:rsid w:val="00223776"/>
    <w:rsid w:val="00235EE2"/>
    <w:rsid w:val="002421F5"/>
    <w:rsid w:val="00242AC0"/>
    <w:rsid w:val="0027245E"/>
    <w:rsid w:val="00274442"/>
    <w:rsid w:val="00280E5C"/>
    <w:rsid w:val="00297D62"/>
    <w:rsid w:val="002A4FEA"/>
    <w:rsid w:val="002A5CFC"/>
    <w:rsid w:val="002B5A3D"/>
    <w:rsid w:val="002C59C0"/>
    <w:rsid w:val="002D16BB"/>
    <w:rsid w:val="002E48AA"/>
    <w:rsid w:val="002E6F5F"/>
    <w:rsid w:val="002F2F01"/>
    <w:rsid w:val="002F47E9"/>
    <w:rsid w:val="003018D0"/>
    <w:rsid w:val="0031145B"/>
    <w:rsid w:val="003114B3"/>
    <w:rsid w:val="003123F3"/>
    <w:rsid w:val="003221D7"/>
    <w:rsid w:val="00325012"/>
    <w:rsid w:val="00326BB3"/>
    <w:rsid w:val="003311B1"/>
    <w:rsid w:val="003352ED"/>
    <w:rsid w:val="003370DA"/>
    <w:rsid w:val="00337F31"/>
    <w:rsid w:val="00345344"/>
    <w:rsid w:val="00345F17"/>
    <w:rsid w:val="003526BB"/>
    <w:rsid w:val="003551CA"/>
    <w:rsid w:val="003556F9"/>
    <w:rsid w:val="00360488"/>
    <w:rsid w:val="00363C2E"/>
    <w:rsid w:val="00366A01"/>
    <w:rsid w:val="0037684C"/>
    <w:rsid w:val="0037705C"/>
    <w:rsid w:val="00383D13"/>
    <w:rsid w:val="0038652B"/>
    <w:rsid w:val="00392485"/>
    <w:rsid w:val="0039465D"/>
    <w:rsid w:val="0039579B"/>
    <w:rsid w:val="003C4E9C"/>
    <w:rsid w:val="003E0E03"/>
    <w:rsid w:val="003E5AAA"/>
    <w:rsid w:val="003F02F6"/>
    <w:rsid w:val="003F571A"/>
    <w:rsid w:val="003F5BFB"/>
    <w:rsid w:val="00403A82"/>
    <w:rsid w:val="004062DE"/>
    <w:rsid w:val="004220A5"/>
    <w:rsid w:val="004245A6"/>
    <w:rsid w:val="00444834"/>
    <w:rsid w:val="00450A47"/>
    <w:rsid w:val="00456DEF"/>
    <w:rsid w:val="0046204B"/>
    <w:rsid w:val="004637DB"/>
    <w:rsid w:val="0047143A"/>
    <w:rsid w:val="00472683"/>
    <w:rsid w:val="00484130"/>
    <w:rsid w:val="00496A71"/>
    <w:rsid w:val="004B0067"/>
    <w:rsid w:val="004B78F2"/>
    <w:rsid w:val="004C5152"/>
    <w:rsid w:val="004D0B7A"/>
    <w:rsid w:val="004D2DF4"/>
    <w:rsid w:val="004D6615"/>
    <w:rsid w:val="004E03F6"/>
    <w:rsid w:val="004E3D94"/>
    <w:rsid w:val="004E4339"/>
    <w:rsid w:val="004F5F60"/>
    <w:rsid w:val="00514C30"/>
    <w:rsid w:val="0051795C"/>
    <w:rsid w:val="00522906"/>
    <w:rsid w:val="0052603B"/>
    <w:rsid w:val="00532F39"/>
    <w:rsid w:val="00536944"/>
    <w:rsid w:val="00542A4B"/>
    <w:rsid w:val="0054621A"/>
    <w:rsid w:val="00546541"/>
    <w:rsid w:val="005557CB"/>
    <w:rsid w:val="005561C8"/>
    <w:rsid w:val="0056543D"/>
    <w:rsid w:val="005661D5"/>
    <w:rsid w:val="00582305"/>
    <w:rsid w:val="00597683"/>
    <w:rsid w:val="005B2BD0"/>
    <w:rsid w:val="005B4A01"/>
    <w:rsid w:val="005B7C0D"/>
    <w:rsid w:val="005C5ADE"/>
    <w:rsid w:val="005C66B6"/>
    <w:rsid w:val="005E140F"/>
    <w:rsid w:val="005E165D"/>
    <w:rsid w:val="005E3C20"/>
    <w:rsid w:val="005E4738"/>
    <w:rsid w:val="005F6066"/>
    <w:rsid w:val="006150E5"/>
    <w:rsid w:val="00615266"/>
    <w:rsid w:val="00615777"/>
    <w:rsid w:val="006165AC"/>
    <w:rsid w:val="0061684D"/>
    <w:rsid w:val="006226B6"/>
    <w:rsid w:val="00623AD3"/>
    <w:rsid w:val="006251B7"/>
    <w:rsid w:val="0063083A"/>
    <w:rsid w:val="00633C90"/>
    <w:rsid w:val="00640050"/>
    <w:rsid w:val="00641C73"/>
    <w:rsid w:val="00643FEB"/>
    <w:rsid w:val="006518D3"/>
    <w:rsid w:val="00651D1C"/>
    <w:rsid w:val="00660557"/>
    <w:rsid w:val="00661AC6"/>
    <w:rsid w:val="00672F06"/>
    <w:rsid w:val="00686686"/>
    <w:rsid w:val="006903C9"/>
    <w:rsid w:val="00691CA1"/>
    <w:rsid w:val="006942AA"/>
    <w:rsid w:val="006A0592"/>
    <w:rsid w:val="006C4B7F"/>
    <w:rsid w:val="006C6909"/>
    <w:rsid w:val="006D41E7"/>
    <w:rsid w:val="006D4671"/>
    <w:rsid w:val="006D48F9"/>
    <w:rsid w:val="006D72E2"/>
    <w:rsid w:val="006E0581"/>
    <w:rsid w:val="006F12B7"/>
    <w:rsid w:val="006F53F0"/>
    <w:rsid w:val="006F6087"/>
    <w:rsid w:val="006F7488"/>
    <w:rsid w:val="00701A03"/>
    <w:rsid w:val="0070509E"/>
    <w:rsid w:val="00707654"/>
    <w:rsid w:val="00722151"/>
    <w:rsid w:val="00726E47"/>
    <w:rsid w:val="007276CC"/>
    <w:rsid w:val="007279DF"/>
    <w:rsid w:val="00727B7A"/>
    <w:rsid w:val="00727CDE"/>
    <w:rsid w:val="00730E76"/>
    <w:rsid w:val="007334F9"/>
    <w:rsid w:val="00734AD2"/>
    <w:rsid w:val="00736670"/>
    <w:rsid w:val="00756C25"/>
    <w:rsid w:val="0077319F"/>
    <w:rsid w:val="00777A3F"/>
    <w:rsid w:val="00782084"/>
    <w:rsid w:val="00795BAB"/>
    <w:rsid w:val="007A06FE"/>
    <w:rsid w:val="007B01B9"/>
    <w:rsid w:val="007B518D"/>
    <w:rsid w:val="007E2330"/>
    <w:rsid w:val="007E7AE1"/>
    <w:rsid w:val="007F0976"/>
    <w:rsid w:val="007F37BD"/>
    <w:rsid w:val="00805A66"/>
    <w:rsid w:val="00810236"/>
    <w:rsid w:val="00810F57"/>
    <w:rsid w:val="00811874"/>
    <w:rsid w:val="0081267C"/>
    <w:rsid w:val="00813908"/>
    <w:rsid w:val="0081418C"/>
    <w:rsid w:val="008232A1"/>
    <w:rsid w:val="00847044"/>
    <w:rsid w:val="008530DC"/>
    <w:rsid w:val="00856CCC"/>
    <w:rsid w:val="0086189E"/>
    <w:rsid w:val="008640B0"/>
    <w:rsid w:val="008707E1"/>
    <w:rsid w:val="00873054"/>
    <w:rsid w:val="00885EA5"/>
    <w:rsid w:val="00892586"/>
    <w:rsid w:val="00896A56"/>
    <w:rsid w:val="008A309C"/>
    <w:rsid w:val="008C0E3E"/>
    <w:rsid w:val="008C6350"/>
    <w:rsid w:val="008D4B2A"/>
    <w:rsid w:val="008D7A20"/>
    <w:rsid w:val="008E0AA6"/>
    <w:rsid w:val="008E48C7"/>
    <w:rsid w:val="008F5D22"/>
    <w:rsid w:val="008F6269"/>
    <w:rsid w:val="0090649B"/>
    <w:rsid w:val="00907AE9"/>
    <w:rsid w:val="009208B1"/>
    <w:rsid w:val="00921909"/>
    <w:rsid w:val="0092760C"/>
    <w:rsid w:val="009451B1"/>
    <w:rsid w:val="00945437"/>
    <w:rsid w:val="00966BBA"/>
    <w:rsid w:val="00971AFA"/>
    <w:rsid w:val="00977487"/>
    <w:rsid w:val="00983009"/>
    <w:rsid w:val="00983319"/>
    <w:rsid w:val="009A6501"/>
    <w:rsid w:val="009B1977"/>
    <w:rsid w:val="009B1EB9"/>
    <w:rsid w:val="009B71A3"/>
    <w:rsid w:val="009D73AF"/>
    <w:rsid w:val="009F1B6C"/>
    <w:rsid w:val="009F3D01"/>
    <w:rsid w:val="00A124E9"/>
    <w:rsid w:val="00A145FA"/>
    <w:rsid w:val="00A17400"/>
    <w:rsid w:val="00A24036"/>
    <w:rsid w:val="00A315CD"/>
    <w:rsid w:val="00A35DC6"/>
    <w:rsid w:val="00A406FC"/>
    <w:rsid w:val="00A44588"/>
    <w:rsid w:val="00A447B8"/>
    <w:rsid w:val="00A4739D"/>
    <w:rsid w:val="00A57E4D"/>
    <w:rsid w:val="00A63E00"/>
    <w:rsid w:val="00A67B28"/>
    <w:rsid w:val="00A74462"/>
    <w:rsid w:val="00A978B4"/>
    <w:rsid w:val="00A979FB"/>
    <w:rsid w:val="00AA5698"/>
    <w:rsid w:val="00AB04CE"/>
    <w:rsid w:val="00AB2AC9"/>
    <w:rsid w:val="00AB3901"/>
    <w:rsid w:val="00AB5408"/>
    <w:rsid w:val="00AD2FF4"/>
    <w:rsid w:val="00AD5F4D"/>
    <w:rsid w:val="00AE7F8B"/>
    <w:rsid w:val="00AF39EC"/>
    <w:rsid w:val="00AF74CF"/>
    <w:rsid w:val="00AF79A8"/>
    <w:rsid w:val="00B04671"/>
    <w:rsid w:val="00B05066"/>
    <w:rsid w:val="00B05ACB"/>
    <w:rsid w:val="00B07D4F"/>
    <w:rsid w:val="00B10653"/>
    <w:rsid w:val="00B115C1"/>
    <w:rsid w:val="00B13EB3"/>
    <w:rsid w:val="00B1499D"/>
    <w:rsid w:val="00B14D6E"/>
    <w:rsid w:val="00B256B1"/>
    <w:rsid w:val="00B44E26"/>
    <w:rsid w:val="00B46169"/>
    <w:rsid w:val="00B52FE1"/>
    <w:rsid w:val="00B566B8"/>
    <w:rsid w:val="00B623FF"/>
    <w:rsid w:val="00B71312"/>
    <w:rsid w:val="00B73AB9"/>
    <w:rsid w:val="00B753EC"/>
    <w:rsid w:val="00B807BE"/>
    <w:rsid w:val="00B80981"/>
    <w:rsid w:val="00B859DD"/>
    <w:rsid w:val="00B91764"/>
    <w:rsid w:val="00BA2D10"/>
    <w:rsid w:val="00BC39BA"/>
    <w:rsid w:val="00BC69A5"/>
    <w:rsid w:val="00BD2956"/>
    <w:rsid w:val="00BD672B"/>
    <w:rsid w:val="00BE02EA"/>
    <w:rsid w:val="00BE0968"/>
    <w:rsid w:val="00BE22D1"/>
    <w:rsid w:val="00BE7CBB"/>
    <w:rsid w:val="00BF6CEF"/>
    <w:rsid w:val="00BF6F47"/>
    <w:rsid w:val="00C017FC"/>
    <w:rsid w:val="00C0322C"/>
    <w:rsid w:val="00C045EF"/>
    <w:rsid w:val="00C06C79"/>
    <w:rsid w:val="00C128B7"/>
    <w:rsid w:val="00C21A45"/>
    <w:rsid w:val="00C35D6F"/>
    <w:rsid w:val="00C435D2"/>
    <w:rsid w:val="00C44254"/>
    <w:rsid w:val="00C460B6"/>
    <w:rsid w:val="00C562FA"/>
    <w:rsid w:val="00C667B8"/>
    <w:rsid w:val="00C801CE"/>
    <w:rsid w:val="00C82ABA"/>
    <w:rsid w:val="00C94649"/>
    <w:rsid w:val="00C96F4B"/>
    <w:rsid w:val="00CA4FDE"/>
    <w:rsid w:val="00CB2796"/>
    <w:rsid w:val="00CB5404"/>
    <w:rsid w:val="00CB6F16"/>
    <w:rsid w:val="00CB72B3"/>
    <w:rsid w:val="00CB79DE"/>
    <w:rsid w:val="00CD3E25"/>
    <w:rsid w:val="00CD5549"/>
    <w:rsid w:val="00CD5FAC"/>
    <w:rsid w:val="00CE3B60"/>
    <w:rsid w:val="00CE4CC2"/>
    <w:rsid w:val="00CF1BB6"/>
    <w:rsid w:val="00D12268"/>
    <w:rsid w:val="00D12E4D"/>
    <w:rsid w:val="00D2347C"/>
    <w:rsid w:val="00D34298"/>
    <w:rsid w:val="00D37184"/>
    <w:rsid w:val="00D37C8B"/>
    <w:rsid w:val="00D44294"/>
    <w:rsid w:val="00D55795"/>
    <w:rsid w:val="00D6304A"/>
    <w:rsid w:val="00D74FC5"/>
    <w:rsid w:val="00D85841"/>
    <w:rsid w:val="00D90E6D"/>
    <w:rsid w:val="00D91DF4"/>
    <w:rsid w:val="00D96221"/>
    <w:rsid w:val="00D97DFF"/>
    <w:rsid w:val="00DA3358"/>
    <w:rsid w:val="00DB182B"/>
    <w:rsid w:val="00DB46D4"/>
    <w:rsid w:val="00DB6EC3"/>
    <w:rsid w:val="00DB7C01"/>
    <w:rsid w:val="00DC34E7"/>
    <w:rsid w:val="00DD25C7"/>
    <w:rsid w:val="00DD4D9D"/>
    <w:rsid w:val="00DE6AB9"/>
    <w:rsid w:val="00DF18E6"/>
    <w:rsid w:val="00E04897"/>
    <w:rsid w:val="00E11F0D"/>
    <w:rsid w:val="00E12E67"/>
    <w:rsid w:val="00E155E8"/>
    <w:rsid w:val="00E16A6F"/>
    <w:rsid w:val="00E21E18"/>
    <w:rsid w:val="00E25C2C"/>
    <w:rsid w:val="00E323A2"/>
    <w:rsid w:val="00E36173"/>
    <w:rsid w:val="00E444B7"/>
    <w:rsid w:val="00E50A84"/>
    <w:rsid w:val="00E7036D"/>
    <w:rsid w:val="00E8036E"/>
    <w:rsid w:val="00E838E2"/>
    <w:rsid w:val="00E8460D"/>
    <w:rsid w:val="00E91116"/>
    <w:rsid w:val="00E91205"/>
    <w:rsid w:val="00E96E9E"/>
    <w:rsid w:val="00E97379"/>
    <w:rsid w:val="00EA484E"/>
    <w:rsid w:val="00EB0209"/>
    <w:rsid w:val="00EB07E1"/>
    <w:rsid w:val="00EB63F4"/>
    <w:rsid w:val="00EC16E9"/>
    <w:rsid w:val="00EC4D1E"/>
    <w:rsid w:val="00ED7A57"/>
    <w:rsid w:val="00EF4415"/>
    <w:rsid w:val="00F01C11"/>
    <w:rsid w:val="00F07AFC"/>
    <w:rsid w:val="00F1203A"/>
    <w:rsid w:val="00F15E31"/>
    <w:rsid w:val="00F35EE2"/>
    <w:rsid w:val="00F36D8A"/>
    <w:rsid w:val="00F45E07"/>
    <w:rsid w:val="00F50E4C"/>
    <w:rsid w:val="00F62EE3"/>
    <w:rsid w:val="00F65BF1"/>
    <w:rsid w:val="00F72A4B"/>
    <w:rsid w:val="00F842F4"/>
    <w:rsid w:val="00F872A3"/>
    <w:rsid w:val="00F87820"/>
    <w:rsid w:val="00F943D7"/>
    <w:rsid w:val="00FA0AF6"/>
    <w:rsid w:val="00FA2C88"/>
    <w:rsid w:val="00FB1624"/>
    <w:rsid w:val="00FB7F07"/>
    <w:rsid w:val="00FC3DFB"/>
    <w:rsid w:val="00FC55C4"/>
    <w:rsid w:val="00FC5D6A"/>
    <w:rsid w:val="00FD0543"/>
    <w:rsid w:val="00FD6CFD"/>
    <w:rsid w:val="00FE4285"/>
    <w:rsid w:val="00FE4C51"/>
    <w:rsid w:val="00FE6D84"/>
    <w:rsid w:val="00FF0681"/>
    <w:rsid w:val="00FF7565"/>
    <w:rsid w:val="00FF7A3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ln">
    <w:name w:val="Normal"/>
    <w:qFormat/>
    <w:rsid w:val="00C0322C"/>
    <w:pPr>
      <w:spacing w:line="360" w:lineRule="auto"/>
      <w:jc w:val="both"/>
    </w:pPr>
    <w:rPr>
      <w:rFonts w:ascii="Times New Roman" w:eastAsia="Times New Roman" w:hAnsi="Times New Roman"/>
      <w:szCs w:val="24"/>
    </w:rPr>
  </w:style>
  <w:style w:type="paragraph" w:styleId="Nadpis1">
    <w:name w:val="heading 1"/>
    <w:basedOn w:val="Normln"/>
    <w:next w:val="Normln"/>
    <w:link w:val="Nadpis1Char"/>
    <w:uiPriority w:val="99"/>
    <w:qFormat/>
    <w:rsid w:val="00A57E4D"/>
    <w:pPr>
      <w:keepNext/>
      <w:numPr>
        <w:numId w:val="1"/>
      </w:numPr>
      <w:spacing w:before="240" w:after="60"/>
      <w:outlineLvl w:val="0"/>
    </w:pPr>
    <w:rPr>
      <w:rFonts w:cs="Arial"/>
      <w:b/>
      <w:bCs/>
      <w:kern w:val="32"/>
      <w:sz w:val="28"/>
      <w:szCs w:val="32"/>
    </w:rPr>
  </w:style>
  <w:style w:type="paragraph" w:styleId="Nadpis2">
    <w:name w:val="heading 2"/>
    <w:basedOn w:val="Normln"/>
    <w:next w:val="Normln"/>
    <w:link w:val="Nadpis2Char"/>
    <w:uiPriority w:val="99"/>
    <w:qFormat/>
    <w:rsid w:val="00A57E4D"/>
    <w:pPr>
      <w:keepNext/>
      <w:numPr>
        <w:ilvl w:val="1"/>
        <w:numId w:val="1"/>
      </w:numPr>
      <w:spacing w:before="240" w:after="60"/>
      <w:outlineLvl w:val="1"/>
    </w:pPr>
    <w:rPr>
      <w:rFonts w:cs="Arial"/>
      <w:b/>
      <w:bCs/>
      <w:iCs/>
      <w:szCs w:val="28"/>
    </w:rPr>
  </w:style>
  <w:style w:type="paragraph" w:styleId="Nadpis3">
    <w:name w:val="heading 3"/>
    <w:basedOn w:val="Normln"/>
    <w:next w:val="Normln"/>
    <w:link w:val="Nadpis3Char"/>
    <w:uiPriority w:val="99"/>
    <w:qFormat/>
    <w:rsid w:val="00E323A2"/>
    <w:pPr>
      <w:keepNext/>
      <w:numPr>
        <w:ilvl w:val="2"/>
        <w:numId w:val="1"/>
      </w:numPr>
      <w:spacing w:before="240" w:after="60"/>
      <w:ind w:left="1428"/>
      <w:outlineLvl w:val="2"/>
    </w:pPr>
    <w:rPr>
      <w:rFonts w:cs="Arial"/>
      <w:b/>
      <w:bCs/>
      <w:szCs w:val="26"/>
    </w:rPr>
  </w:style>
  <w:style w:type="paragraph" w:styleId="Nadpis4">
    <w:name w:val="heading 4"/>
    <w:basedOn w:val="Normln"/>
    <w:next w:val="Normln"/>
    <w:link w:val="Nadpis4Char"/>
    <w:uiPriority w:val="99"/>
    <w:qFormat/>
    <w:rsid w:val="00A57E4D"/>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rsid w:val="00A57E4D"/>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A57E4D"/>
    <w:pPr>
      <w:numPr>
        <w:ilvl w:val="5"/>
        <w:numId w:val="1"/>
      </w:numPr>
      <w:spacing w:before="240" w:after="60"/>
      <w:outlineLvl w:val="5"/>
    </w:pPr>
    <w:rPr>
      <w:b/>
      <w:bCs/>
      <w:szCs w:val="22"/>
    </w:rPr>
  </w:style>
  <w:style w:type="paragraph" w:styleId="Nadpis7">
    <w:name w:val="heading 7"/>
    <w:basedOn w:val="Normln"/>
    <w:next w:val="Normln"/>
    <w:link w:val="Nadpis7Char"/>
    <w:uiPriority w:val="99"/>
    <w:qFormat/>
    <w:rsid w:val="00A57E4D"/>
    <w:pPr>
      <w:numPr>
        <w:ilvl w:val="6"/>
        <w:numId w:val="1"/>
      </w:numPr>
      <w:spacing w:before="240" w:after="60"/>
      <w:outlineLvl w:val="6"/>
    </w:pPr>
    <w:rPr>
      <w:sz w:val="24"/>
    </w:rPr>
  </w:style>
  <w:style w:type="paragraph" w:styleId="Nadpis8">
    <w:name w:val="heading 8"/>
    <w:basedOn w:val="Normln"/>
    <w:next w:val="Normln"/>
    <w:link w:val="Nadpis8Char"/>
    <w:uiPriority w:val="99"/>
    <w:qFormat/>
    <w:rsid w:val="00A57E4D"/>
    <w:pPr>
      <w:numPr>
        <w:ilvl w:val="7"/>
        <w:numId w:val="1"/>
      </w:numPr>
      <w:spacing w:before="240" w:after="60"/>
      <w:outlineLvl w:val="7"/>
    </w:pPr>
    <w:rPr>
      <w:i/>
      <w:iCs/>
      <w:sz w:val="24"/>
    </w:rPr>
  </w:style>
  <w:style w:type="paragraph" w:styleId="Nadpis9">
    <w:name w:val="heading 9"/>
    <w:basedOn w:val="Normln"/>
    <w:next w:val="Normln"/>
    <w:link w:val="Nadpis9Char"/>
    <w:uiPriority w:val="99"/>
    <w:qFormat/>
    <w:rsid w:val="00A57E4D"/>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57E4D"/>
    <w:rPr>
      <w:rFonts w:ascii="Times New Roman" w:hAnsi="Times New Roman" w:cs="Arial"/>
      <w:b/>
      <w:bCs/>
      <w:kern w:val="32"/>
      <w:sz w:val="32"/>
      <w:szCs w:val="32"/>
      <w:lang w:eastAsia="cs-CZ"/>
    </w:rPr>
  </w:style>
  <w:style w:type="character" w:customStyle="1" w:styleId="Nadpis2Char">
    <w:name w:val="Nadpis 2 Char"/>
    <w:basedOn w:val="Standardnpsmoodstavce"/>
    <w:link w:val="Nadpis2"/>
    <w:uiPriority w:val="99"/>
    <w:locked/>
    <w:rsid w:val="00A57E4D"/>
    <w:rPr>
      <w:rFonts w:ascii="Times New Roman" w:hAnsi="Times New Roman" w:cs="Arial"/>
      <w:b/>
      <w:bCs/>
      <w:iCs/>
      <w:sz w:val="28"/>
      <w:szCs w:val="28"/>
      <w:lang w:eastAsia="cs-CZ"/>
    </w:rPr>
  </w:style>
  <w:style w:type="character" w:customStyle="1" w:styleId="Nadpis3Char">
    <w:name w:val="Nadpis 3 Char"/>
    <w:basedOn w:val="Standardnpsmoodstavce"/>
    <w:link w:val="Nadpis3"/>
    <w:uiPriority w:val="99"/>
    <w:locked/>
    <w:rsid w:val="00E323A2"/>
    <w:rPr>
      <w:rFonts w:ascii="Times New Roman" w:hAnsi="Times New Roman" w:cs="Arial"/>
      <w:b/>
      <w:bCs/>
      <w:sz w:val="26"/>
      <w:szCs w:val="26"/>
      <w:lang w:eastAsia="cs-CZ"/>
    </w:rPr>
  </w:style>
  <w:style w:type="character" w:customStyle="1" w:styleId="Nadpis4Char">
    <w:name w:val="Nadpis 4 Char"/>
    <w:basedOn w:val="Standardnpsmoodstavce"/>
    <w:link w:val="Nadpis4"/>
    <w:uiPriority w:val="99"/>
    <w:locked/>
    <w:rsid w:val="00A57E4D"/>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locked/>
    <w:rsid w:val="00A57E4D"/>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locked/>
    <w:rsid w:val="00A57E4D"/>
    <w:rPr>
      <w:rFonts w:ascii="Times New Roman" w:hAnsi="Times New Roman" w:cs="Times New Roman"/>
      <w:b/>
      <w:bCs/>
      <w:lang w:eastAsia="cs-CZ"/>
    </w:rPr>
  </w:style>
  <w:style w:type="character" w:customStyle="1" w:styleId="Nadpis7Char">
    <w:name w:val="Nadpis 7 Char"/>
    <w:basedOn w:val="Standardnpsmoodstavce"/>
    <w:link w:val="Nadpis7"/>
    <w:uiPriority w:val="99"/>
    <w:locked/>
    <w:rsid w:val="00A57E4D"/>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locked/>
    <w:rsid w:val="00A57E4D"/>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locked/>
    <w:rsid w:val="00A57E4D"/>
    <w:rPr>
      <w:rFonts w:ascii="Arial" w:hAnsi="Arial" w:cs="Arial"/>
      <w:lang w:eastAsia="cs-CZ"/>
    </w:rPr>
  </w:style>
  <w:style w:type="paragraph" w:styleId="Zpat">
    <w:name w:val="footer"/>
    <w:basedOn w:val="Normln"/>
    <w:link w:val="ZpatChar"/>
    <w:uiPriority w:val="99"/>
    <w:rsid w:val="00C0322C"/>
    <w:pPr>
      <w:tabs>
        <w:tab w:val="center" w:pos="4536"/>
        <w:tab w:val="right" w:pos="9072"/>
      </w:tabs>
    </w:pPr>
  </w:style>
  <w:style w:type="character" w:customStyle="1" w:styleId="ZpatChar">
    <w:name w:val="Zápatí Char"/>
    <w:basedOn w:val="Standardnpsmoodstavce"/>
    <w:link w:val="Zpat"/>
    <w:uiPriority w:val="99"/>
    <w:locked/>
    <w:rsid w:val="00C0322C"/>
    <w:rPr>
      <w:rFonts w:ascii="Times New Roman" w:hAnsi="Times New Roman" w:cs="Times New Roman"/>
      <w:sz w:val="24"/>
      <w:szCs w:val="24"/>
      <w:lang w:eastAsia="cs-CZ"/>
    </w:rPr>
  </w:style>
  <w:style w:type="paragraph" w:customStyle="1" w:styleId="Default">
    <w:name w:val="Default"/>
    <w:uiPriority w:val="99"/>
    <w:rsid w:val="00C0322C"/>
    <w:pPr>
      <w:autoSpaceDE w:val="0"/>
      <w:autoSpaceDN w:val="0"/>
      <w:adjustRightInd w:val="0"/>
    </w:pPr>
    <w:rPr>
      <w:rFonts w:ascii="Times New Roman" w:hAnsi="Times New Roman"/>
      <w:color w:val="000000"/>
      <w:sz w:val="24"/>
      <w:szCs w:val="24"/>
      <w:lang w:eastAsia="en-US"/>
    </w:rPr>
  </w:style>
  <w:style w:type="paragraph" w:styleId="Zhlav">
    <w:name w:val="header"/>
    <w:basedOn w:val="Normln"/>
    <w:link w:val="ZhlavChar"/>
    <w:uiPriority w:val="99"/>
    <w:rsid w:val="00BC39BA"/>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BC39BA"/>
    <w:rPr>
      <w:rFonts w:ascii="Times New Roman" w:hAnsi="Times New Roman" w:cs="Times New Roman"/>
      <w:sz w:val="24"/>
      <w:szCs w:val="24"/>
      <w:lang w:eastAsia="cs-CZ"/>
    </w:rPr>
  </w:style>
  <w:style w:type="character" w:styleId="slostrnky">
    <w:name w:val="page number"/>
    <w:basedOn w:val="Standardnpsmoodstavce"/>
    <w:uiPriority w:val="99"/>
    <w:semiHidden/>
    <w:rsid w:val="00BC39BA"/>
    <w:rPr>
      <w:rFonts w:cs="Times New Roman"/>
    </w:rPr>
  </w:style>
  <w:style w:type="character" w:styleId="Hypertextovodkaz">
    <w:name w:val="Hyperlink"/>
    <w:basedOn w:val="Standardnpsmoodstavce"/>
    <w:uiPriority w:val="99"/>
    <w:rsid w:val="00032DCC"/>
    <w:rPr>
      <w:rFonts w:cs="Times New Roman"/>
      <w:color w:val="0000FF"/>
      <w:u w:val="single"/>
    </w:rPr>
  </w:style>
  <w:style w:type="paragraph" w:styleId="Nzev">
    <w:name w:val="Title"/>
    <w:basedOn w:val="Normln"/>
    <w:link w:val="NzevChar"/>
    <w:uiPriority w:val="99"/>
    <w:qFormat/>
    <w:rsid w:val="00A57E4D"/>
    <w:pPr>
      <w:spacing w:before="240" w:after="60"/>
      <w:jc w:val="center"/>
      <w:outlineLvl w:val="0"/>
    </w:pPr>
    <w:rPr>
      <w:rFonts w:cs="Arial"/>
      <w:b/>
      <w:bCs/>
      <w:kern w:val="28"/>
      <w:sz w:val="24"/>
      <w:szCs w:val="32"/>
    </w:rPr>
  </w:style>
  <w:style w:type="character" w:customStyle="1" w:styleId="NzevChar">
    <w:name w:val="Název Char"/>
    <w:basedOn w:val="Standardnpsmoodstavce"/>
    <w:link w:val="Nzev"/>
    <w:uiPriority w:val="99"/>
    <w:locked/>
    <w:rsid w:val="00A57E4D"/>
    <w:rPr>
      <w:rFonts w:ascii="Times New Roman" w:hAnsi="Times New Roman" w:cs="Arial"/>
      <w:b/>
      <w:bCs/>
      <w:kern w:val="28"/>
      <w:sz w:val="32"/>
      <w:szCs w:val="32"/>
      <w:lang w:eastAsia="cs-CZ"/>
    </w:rPr>
  </w:style>
  <w:style w:type="paragraph" w:styleId="Normlnweb">
    <w:name w:val="Normal (Web)"/>
    <w:basedOn w:val="Normln"/>
    <w:uiPriority w:val="99"/>
    <w:rsid w:val="00FE4C51"/>
    <w:pPr>
      <w:spacing w:before="100" w:beforeAutospacing="1" w:after="100" w:afterAutospacing="1" w:line="240" w:lineRule="auto"/>
      <w:jc w:val="left"/>
    </w:pPr>
    <w:rPr>
      <w:sz w:val="24"/>
    </w:rPr>
  </w:style>
  <w:style w:type="paragraph" w:styleId="Odstavecseseznamem">
    <w:name w:val="List Paragraph"/>
    <w:basedOn w:val="Normln"/>
    <w:uiPriority w:val="99"/>
    <w:qFormat/>
    <w:rsid w:val="00B10653"/>
    <w:pPr>
      <w:ind w:left="720"/>
      <w:contextualSpacing/>
    </w:pPr>
  </w:style>
  <w:style w:type="paragraph" w:styleId="Nadpisobsahu">
    <w:name w:val="TOC Heading"/>
    <w:basedOn w:val="Nadpis1"/>
    <w:next w:val="Normln"/>
    <w:uiPriority w:val="99"/>
    <w:qFormat/>
    <w:rsid w:val="00E8036E"/>
    <w:pPr>
      <w:keepLines/>
      <w:numPr>
        <w:numId w:val="0"/>
      </w:numPr>
      <w:spacing w:after="0" w:line="259" w:lineRule="auto"/>
      <w:jc w:val="left"/>
      <w:outlineLvl w:val="9"/>
    </w:pPr>
    <w:rPr>
      <w:rFonts w:ascii="Calibri Light" w:hAnsi="Calibri Light" w:cs="Times New Roman"/>
      <w:b w:val="0"/>
      <w:bCs w:val="0"/>
      <w:color w:val="2E74B5"/>
      <w:kern w:val="0"/>
      <w:sz w:val="32"/>
    </w:rPr>
  </w:style>
  <w:style w:type="paragraph" w:styleId="Obsah1">
    <w:name w:val="toc 1"/>
    <w:basedOn w:val="Normln"/>
    <w:next w:val="Normln"/>
    <w:autoRedefine/>
    <w:uiPriority w:val="99"/>
    <w:rsid w:val="00E8036E"/>
    <w:pPr>
      <w:spacing w:after="100"/>
    </w:pPr>
  </w:style>
  <w:style w:type="paragraph" w:styleId="Obsah2">
    <w:name w:val="toc 2"/>
    <w:basedOn w:val="Normln"/>
    <w:next w:val="Normln"/>
    <w:autoRedefine/>
    <w:uiPriority w:val="99"/>
    <w:rsid w:val="00E8036E"/>
    <w:pPr>
      <w:spacing w:after="100"/>
      <w:ind w:left="220"/>
    </w:pPr>
  </w:style>
  <w:style w:type="paragraph" w:styleId="Obsah3">
    <w:name w:val="toc 3"/>
    <w:basedOn w:val="Normln"/>
    <w:next w:val="Normln"/>
    <w:autoRedefine/>
    <w:uiPriority w:val="99"/>
    <w:rsid w:val="00E8036E"/>
    <w:pPr>
      <w:spacing w:after="100"/>
      <w:ind w:left="440"/>
    </w:pPr>
  </w:style>
  <w:style w:type="character" w:customStyle="1" w:styleId="st1">
    <w:name w:val="st1"/>
    <w:basedOn w:val="Standardnpsmoodstavce"/>
    <w:uiPriority w:val="99"/>
    <w:rsid w:val="00907AE9"/>
    <w:rPr>
      <w:rFonts w:cs="Times New Roman"/>
    </w:rPr>
  </w:style>
  <w:style w:type="paragraph" w:styleId="Textbubliny">
    <w:name w:val="Balloon Text"/>
    <w:basedOn w:val="Normln"/>
    <w:link w:val="TextbublinyChar"/>
    <w:uiPriority w:val="99"/>
    <w:semiHidden/>
    <w:rsid w:val="00B566B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566B8"/>
    <w:rPr>
      <w:rFonts w:ascii="Tahoma" w:hAnsi="Tahoma" w:cs="Tahoma"/>
      <w:sz w:val="16"/>
      <w:szCs w:val="16"/>
      <w:lang w:eastAsia="cs-CZ"/>
    </w:rPr>
  </w:style>
  <w:style w:type="character" w:styleId="Zvraznn">
    <w:name w:val="Emphasis"/>
    <w:basedOn w:val="Standardnpsmoodstavce"/>
    <w:uiPriority w:val="99"/>
    <w:qFormat/>
    <w:rsid w:val="006251B7"/>
    <w:rPr>
      <w:rFonts w:cs="Times New Roman"/>
      <w:b/>
      <w:bCs/>
    </w:rPr>
  </w:style>
  <w:style w:type="character" w:styleId="Siln">
    <w:name w:val="Strong"/>
    <w:basedOn w:val="Standardnpsmoodstavce"/>
    <w:uiPriority w:val="99"/>
    <w:qFormat/>
    <w:rsid w:val="002B5A3D"/>
    <w:rPr>
      <w:rFonts w:cs="Times New Roman"/>
      <w:b/>
      <w:bCs/>
    </w:rPr>
  </w:style>
  <w:style w:type="character" w:styleId="Odkaznakoment">
    <w:name w:val="annotation reference"/>
    <w:basedOn w:val="Standardnpsmoodstavce"/>
    <w:uiPriority w:val="99"/>
    <w:semiHidden/>
    <w:rsid w:val="00A67B28"/>
    <w:rPr>
      <w:rFonts w:cs="Times New Roman"/>
      <w:sz w:val="16"/>
      <w:szCs w:val="16"/>
    </w:rPr>
  </w:style>
  <w:style w:type="paragraph" w:styleId="Textkomente">
    <w:name w:val="annotation text"/>
    <w:basedOn w:val="Normln"/>
    <w:link w:val="TextkomenteChar"/>
    <w:uiPriority w:val="99"/>
    <w:semiHidden/>
    <w:rsid w:val="00A67B28"/>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67B28"/>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A67B28"/>
    <w:rPr>
      <w:b/>
      <w:bCs/>
    </w:rPr>
  </w:style>
  <w:style w:type="character" w:customStyle="1" w:styleId="PedmtkomenteChar">
    <w:name w:val="Předmět komentáře Char"/>
    <w:basedOn w:val="TextkomenteChar"/>
    <w:link w:val="Pedmtkomente"/>
    <w:uiPriority w:val="99"/>
    <w:semiHidden/>
    <w:locked/>
    <w:rsid w:val="00A67B28"/>
    <w:rPr>
      <w:rFonts w:ascii="Times New Roman" w:hAnsi="Times New Roman" w:cs="Times New Roman"/>
      <w:b/>
      <w:bCs/>
      <w:sz w:val="20"/>
      <w:szCs w:val="20"/>
      <w:lang w:eastAsia="cs-CZ"/>
    </w:rPr>
  </w:style>
  <w:style w:type="character" w:styleId="Sledovanodkaz">
    <w:name w:val="FollowedHyperlink"/>
    <w:basedOn w:val="Standardnpsmoodstavce"/>
    <w:uiPriority w:val="99"/>
    <w:semiHidden/>
    <w:rsid w:val="00B115C1"/>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25494954">
      <w:bodyDiv w:val="1"/>
      <w:marLeft w:val="0"/>
      <w:marRight w:val="0"/>
      <w:marTop w:val="0"/>
      <w:marBottom w:val="0"/>
      <w:divBdr>
        <w:top w:val="none" w:sz="0" w:space="0" w:color="auto"/>
        <w:left w:val="none" w:sz="0" w:space="0" w:color="auto"/>
        <w:bottom w:val="none" w:sz="0" w:space="0" w:color="auto"/>
        <w:right w:val="none" w:sz="0" w:space="0" w:color="auto"/>
      </w:divBdr>
    </w:div>
    <w:div w:id="212010600">
      <w:bodyDiv w:val="1"/>
      <w:marLeft w:val="0"/>
      <w:marRight w:val="0"/>
      <w:marTop w:val="0"/>
      <w:marBottom w:val="0"/>
      <w:divBdr>
        <w:top w:val="none" w:sz="0" w:space="0" w:color="auto"/>
        <w:left w:val="none" w:sz="0" w:space="0" w:color="auto"/>
        <w:bottom w:val="none" w:sz="0" w:space="0" w:color="auto"/>
        <w:right w:val="none" w:sz="0" w:space="0" w:color="auto"/>
      </w:divBdr>
    </w:div>
    <w:div w:id="317343311">
      <w:marLeft w:val="0"/>
      <w:marRight w:val="0"/>
      <w:marTop w:val="0"/>
      <w:marBottom w:val="0"/>
      <w:divBdr>
        <w:top w:val="none" w:sz="0" w:space="0" w:color="auto"/>
        <w:left w:val="none" w:sz="0" w:space="0" w:color="auto"/>
        <w:bottom w:val="none" w:sz="0" w:space="0" w:color="auto"/>
        <w:right w:val="none" w:sz="0" w:space="0" w:color="auto"/>
      </w:divBdr>
      <w:divsChild>
        <w:div w:id="317343314">
          <w:marLeft w:val="0"/>
          <w:marRight w:val="0"/>
          <w:marTop w:val="0"/>
          <w:marBottom w:val="0"/>
          <w:divBdr>
            <w:top w:val="none" w:sz="0" w:space="0" w:color="auto"/>
            <w:left w:val="none" w:sz="0" w:space="0" w:color="auto"/>
            <w:bottom w:val="none" w:sz="0" w:space="0" w:color="auto"/>
            <w:right w:val="none" w:sz="0" w:space="0" w:color="auto"/>
          </w:divBdr>
          <w:divsChild>
            <w:div w:id="317343316">
              <w:marLeft w:val="0"/>
              <w:marRight w:val="0"/>
              <w:marTop w:val="0"/>
              <w:marBottom w:val="0"/>
              <w:divBdr>
                <w:top w:val="none" w:sz="0" w:space="0" w:color="auto"/>
                <w:left w:val="none" w:sz="0" w:space="0" w:color="auto"/>
                <w:bottom w:val="none" w:sz="0" w:space="0" w:color="auto"/>
                <w:right w:val="none" w:sz="0" w:space="0" w:color="auto"/>
              </w:divBdr>
              <w:divsChild>
                <w:div w:id="317343317">
                  <w:marLeft w:val="0"/>
                  <w:marRight w:val="0"/>
                  <w:marTop w:val="0"/>
                  <w:marBottom w:val="0"/>
                  <w:divBdr>
                    <w:top w:val="none" w:sz="0" w:space="0" w:color="auto"/>
                    <w:left w:val="none" w:sz="0" w:space="0" w:color="auto"/>
                    <w:bottom w:val="none" w:sz="0" w:space="0" w:color="auto"/>
                    <w:right w:val="none" w:sz="0" w:space="0" w:color="auto"/>
                  </w:divBdr>
                  <w:divsChild>
                    <w:div w:id="3173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3312">
      <w:marLeft w:val="0"/>
      <w:marRight w:val="0"/>
      <w:marTop w:val="0"/>
      <w:marBottom w:val="0"/>
      <w:divBdr>
        <w:top w:val="none" w:sz="0" w:space="0" w:color="auto"/>
        <w:left w:val="none" w:sz="0" w:space="0" w:color="auto"/>
        <w:bottom w:val="none" w:sz="0" w:space="0" w:color="auto"/>
        <w:right w:val="none" w:sz="0" w:space="0" w:color="auto"/>
      </w:divBdr>
      <w:divsChild>
        <w:div w:id="317343318">
          <w:marLeft w:val="0"/>
          <w:marRight w:val="0"/>
          <w:marTop w:val="0"/>
          <w:marBottom w:val="0"/>
          <w:divBdr>
            <w:top w:val="none" w:sz="0" w:space="0" w:color="auto"/>
            <w:left w:val="none" w:sz="0" w:space="0" w:color="auto"/>
            <w:bottom w:val="none" w:sz="0" w:space="0" w:color="auto"/>
            <w:right w:val="none" w:sz="0" w:space="0" w:color="auto"/>
          </w:divBdr>
          <w:divsChild>
            <w:div w:id="317343320">
              <w:marLeft w:val="0"/>
              <w:marRight w:val="0"/>
              <w:marTop w:val="0"/>
              <w:marBottom w:val="0"/>
              <w:divBdr>
                <w:top w:val="none" w:sz="0" w:space="0" w:color="auto"/>
                <w:left w:val="none" w:sz="0" w:space="0" w:color="auto"/>
                <w:bottom w:val="none" w:sz="0" w:space="0" w:color="auto"/>
                <w:right w:val="none" w:sz="0" w:space="0" w:color="auto"/>
              </w:divBdr>
              <w:divsChild>
                <w:div w:id="317343319">
                  <w:marLeft w:val="0"/>
                  <w:marRight w:val="0"/>
                  <w:marTop w:val="0"/>
                  <w:marBottom w:val="0"/>
                  <w:divBdr>
                    <w:top w:val="none" w:sz="0" w:space="0" w:color="auto"/>
                    <w:left w:val="none" w:sz="0" w:space="0" w:color="auto"/>
                    <w:bottom w:val="none" w:sz="0" w:space="0" w:color="auto"/>
                    <w:right w:val="none" w:sz="0" w:space="0" w:color="auto"/>
                  </w:divBdr>
                  <w:divsChild>
                    <w:div w:id="317343321">
                      <w:marLeft w:val="0"/>
                      <w:marRight w:val="0"/>
                      <w:marTop w:val="0"/>
                      <w:marBottom w:val="0"/>
                      <w:divBdr>
                        <w:top w:val="none" w:sz="0" w:space="0" w:color="auto"/>
                        <w:left w:val="none" w:sz="0" w:space="0" w:color="auto"/>
                        <w:bottom w:val="none" w:sz="0" w:space="0" w:color="auto"/>
                        <w:right w:val="none" w:sz="0" w:space="0" w:color="auto"/>
                      </w:divBdr>
                      <w:divsChild>
                        <w:div w:id="317343315">
                          <w:marLeft w:val="0"/>
                          <w:marRight w:val="0"/>
                          <w:marTop w:val="0"/>
                          <w:marBottom w:val="0"/>
                          <w:divBdr>
                            <w:top w:val="single" w:sz="6" w:space="0" w:color="E5E3E5"/>
                            <w:left w:val="single" w:sz="6" w:space="0" w:color="E5E3E5"/>
                            <w:bottom w:val="single" w:sz="6" w:space="0" w:color="E5E3E5"/>
                            <w:right w:val="single" w:sz="6" w:space="0" w:color="E5E3E5"/>
                          </w:divBdr>
                          <w:divsChild>
                            <w:div w:id="317343323">
                              <w:marLeft w:val="0"/>
                              <w:marRight w:val="0"/>
                              <w:marTop w:val="0"/>
                              <w:marBottom w:val="0"/>
                              <w:divBdr>
                                <w:top w:val="none" w:sz="0" w:space="0" w:color="auto"/>
                                <w:left w:val="none" w:sz="0" w:space="0" w:color="auto"/>
                                <w:bottom w:val="none" w:sz="0" w:space="0" w:color="auto"/>
                                <w:right w:val="none" w:sz="0" w:space="0" w:color="auto"/>
                              </w:divBdr>
                              <w:divsChild>
                                <w:div w:id="317343325">
                                  <w:marLeft w:val="0"/>
                                  <w:marRight w:val="0"/>
                                  <w:marTop w:val="0"/>
                                  <w:marBottom w:val="0"/>
                                  <w:divBdr>
                                    <w:top w:val="none" w:sz="0" w:space="0" w:color="auto"/>
                                    <w:left w:val="none" w:sz="0" w:space="0" w:color="auto"/>
                                    <w:bottom w:val="none" w:sz="0" w:space="0" w:color="auto"/>
                                    <w:right w:val="none" w:sz="0" w:space="0" w:color="auto"/>
                                  </w:divBdr>
                                  <w:divsChild>
                                    <w:div w:id="317343322">
                                      <w:marLeft w:val="1"/>
                                      <w:marRight w:val="1"/>
                                      <w:marTop w:val="0"/>
                                      <w:marBottom w:val="0"/>
                                      <w:divBdr>
                                        <w:top w:val="single" w:sz="6" w:space="0" w:color="E5E3E5"/>
                                        <w:left w:val="single" w:sz="6" w:space="0" w:color="E5E3E5"/>
                                        <w:bottom w:val="single" w:sz="6" w:space="0" w:color="E5E3E5"/>
                                        <w:right w:val="single" w:sz="6" w:space="0" w:color="E5E3E5"/>
                                      </w:divBdr>
                                    </w:div>
                                  </w:divsChild>
                                </w:div>
                              </w:divsChild>
                            </w:div>
                          </w:divsChild>
                        </w:div>
                      </w:divsChild>
                    </w:div>
                  </w:divsChild>
                </w:div>
              </w:divsChild>
            </w:div>
          </w:divsChild>
        </w:div>
      </w:divsChild>
    </w:div>
    <w:div w:id="317343313">
      <w:marLeft w:val="0"/>
      <w:marRight w:val="0"/>
      <w:marTop w:val="0"/>
      <w:marBottom w:val="0"/>
      <w:divBdr>
        <w:top w:val="none" w:sz="0" w:space="0" w:color="auto"/>
        <w:left w:val="none" w:sz="0" w:space="0" w:color="auto"/>
        <w:bottom w:val="none" w:sz="0" w:space="0" w:color="auto"/>
        <w:right w:val="none" w:sz="0" w:space="0" w:color="auto"/>
      </w:divBdr>
    </w:div>
    <w:div w:id="524682583">
      <w:bodyDiv w:val="1"/>
      <w:marLeft w:val="0"/>
      <w:marRight w:val="0"/>
      <w:marTop w:val="0"/>
      <w:marBottom w:val="0"/>
      <w:divBdr>
        <w:top w:val="none" w:sz="0" w:space="0" w:color="auto"/>
        <w:left w:val="none" w:sz="0" w:space="0" w:color="auto"/>
        <w:bottom w:val="none" w:sz="0" w:space="0" w:color="auto"/>
        <w:right w:val="none" w:sz="0" w:space="0" w:color="auto"/>
      </w:divBdr>
    </w:div>
    <w:div w:id="1087268732">
      <w:bodyDiv w:val="1"/>
      <w:marLeft w:val="0"/>
      <w:marRight w:val="0"/>
      <w:marTop w:val="0"/>
      <w:marBottom w:val="0"/>
      <w:divBdr>
        <w:top w:val="none" w:sz="0" w:space="0" w:color="auto"/>
        <w:left w:val="none" w:sz="0" w:space="0" w:color="auto"/>
        <w:bottom w:val="none" w:sz="0" w:space="0" w:color="auto"/>
        <w:right w:val="none" w:sz="0" w:space="0" w:color="auto"/>
      </w:divBdr>
    </w:div>
    <w:div w:id="11503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fnmotol.cz/neurogeneticka-laborator/%20" TargetMode="External"/><Relationship Id="rId18" Type="http://schemas.openxmlformats.org/officeDocument/2006/relationships/hyperlink" Target="https://www.fnmotol.cz/neurogeneticka-laborato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emqn.org" TargetMode="External"/><Relationship Id="rId17" Type="http://schemas.openxmlformats.org/officeDocument/2006/relationships/hyperlink" Target="https://www.fnmotol.cz/neurogeneticka-laborator/%20" TargetMode="External"/><Relationship Id="rId2" Type="http://schemas.openxmlformats.org/officeDocument/2006/relationships/styles" Target="styles.xml"/><Relationship Id="rId16" Type="http://schemas.openxmlformats.org/officeDocument/2006/relationships/hyperlink" Target="https://www.fnmotol.cz/neurogeneticka-laborator/%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motol.cz/" TargetMode="External"/><Relationship Id="rId5" Type="http://schemas.openxmlformats.org/officeDocument/2006/relationships/footnotes" Target="footnotes.xml"/><Relationship Id="rId15" Type="http://schemas.openxmlformats.org/officeDocument/2006/relationships/hyperlink" Target="mailto:anna.meszarosova@lfmotol.cuni.cz" TargetMode="External"/><Relationship Id="rId23" Type="http://schemas.openxmlformats.org/officeDocument/2006/relationships/theme" Target="theme/theme1.xml"/><Relationship Id="rId10" Type="http://schemas.openxmlformats.org/officeDocument/2006/relationships/hyperlink" Target="https://www.fnmotol.cz/neurogeneticka-laborato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nmotol.cz/neurogeneticka-laborator/" TargetMode="External"/><Relationship Id="rId14" Type="http://schemas.openxmlformats.org/officeDocument/2006/relationships/hyperlink" Target="mailto:petra.lassuthova@fnmotol.c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5442</Words>
  <Characters>32108</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Fakultní nemocnice v Motole</vt:lpstr>
    </vt:vector>
  </TitlesOfParts>
  <Company>FN Motol</Company>
  <LinksUpToDate>false</LinksUpToDate>
  <CharactersWithSpaces>37476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Fakultní nemocnice v Motole</dc:title>
  <dc:creator>Lucie Sedláčková 3326f</dc:creator>
  <cp:lastModifiedBy>Jitka Krásová 59111</cp:lastModifiedBy>
  <cp:revision>2</cp:revision>
  <cp:lastPrinted>2021-01-14T10:13:00Z</cp:lastPrinted>
  <dcterms:created xsi:type="dcterms:W3CDTF">2022-05-24T08:09:00Z</dcterms:created>
  <dcterms:modified xsi:type="dcterms:W3CDTF">2022-05-24T08:09:00Z</dcterms:modified>
</cp:coreProperties>
</file>