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63" w:rsidRPr="009C4E73" w:rsidRDefault="00D83E18" w:rsidP="00681563">
      <w:pPr>
        <w:pStyle w:val="Nadpis1"/>
        <w:spacing w:after="0"/>
        <w:rPr>
          <w:rFonts w:ascii="Times New Roman" w:hAnsi="Times New Roman"/>
          <w:sz w:val="32"/>
          <w:szCs w:val="32"/>
        </w:rPr>
      </w:pPr>
      <w:r w:rsidRPr="009C4E73">
        <w:rPr>
          <w:rFonts w:ascii="Times New Roman" w:hAnsi="Times New Roman"/>
          <w:sz w:val="32"/>
          <w:szCs w:val="32"/>
        </w:rPr>
        <w:t xml:space="preserve">  </w:t>
      </w:r>
      <w:r w:rsidR="00A548C1" w:rsidRPr="009C4E73">
        <w:rPr>
          <w:rFonts w:ascii="Times New Roman" w:hAnsi="Times New Roman"/>
          <w:sz w:val="32"/>
          <w:szCs w:val="32"/>
        </w:rPr>
        <w:t>Smlouva</w:t>
      </w:r>
      <w:r w:rsidR="00681563" w:rsidRPr="009C4E73">
        <w:rPr>
          <w:rFonts w:ascii="Times New Roman" w:hAnsi="Times New Roman"/>
          <w:sz w:val="32"/>
          <w:szCs w:val="32"/>
        </w:rPr>
        <w:t xml:space="preserve"> o spolupráci</w:t>
      </w:r>
    </w:p>
    <w:p w:rsidR="00681563" w:rsidRPr="009C4E73" w:rsidRDefault="00681563" w:rsidP="00681563">
      <w:pPr>
        <w:jc w:val="center"/>
        <w:rPr>
          <w:szCs w:val="24"/>
        </w:rPr>
      </w:pPr>
      <w:r w:rsidRPr="009C4E73">
        <w:rPr>
          <w:szCs w:val="24"/>
        </w:rPr>
        <w:t>(</w:t>
      </w:r>
      <w:r w:rsidR="00391FAE" w:rsidRPr="009C4E73">
        <w:rPr>
          <w:szCs w:val="24"/>
        </w:rPr>
        <w:t xml:space="preserve">pro </w:t>
      </w:r>
      <w:r w:rsidRPr="009C4E73">
        <w:rPr>
          <w:szCs w:val="24"/>
        </w:rPr>
        <w:t>jednorázové posouzení klinického hodnocení)</w:t>
      </w:r>
    </w:p>
    <w:p w:rsidR="00391FAE" w:rsidRDefault="00391FAE" w:rsidP="00681563">
      <w:pPr>
        <w:jc w:val="center"/>
        <w:rPr>
          <w:szCs w:val="24"/>
        </w:rPr>
      </w:pPr>
    </w:p>
    <w:p w:rsidR="00391FAE" w:rsidRPr="00FF1394" w:rsidRDefault="00391FAE" w:rsidP="00681563">
      <w:pPr>
        <w:jc w:val="center"/>
        <w:rPr>
          <w:sz w:val="22"/>
          <w:szCs w:val="22"/>
        </w:rPr>
      </w:pPr>
    </w:p>
    <w:p w:rsidR="00C10EA8" w:rsidRPr="00FF1394" w:rsidRDefault="009C7D6E" w:rsidP="00681563">
      <w:pPr>
        <w:rPr>
          <w:sz w:val="22"/>
          <w:szCs w:val="22"/>
        </w:rPr>
      </w:pPr>
      <w:r w:rsidRPr="00FF1394">
        <w:rPr>
          <w:b/>
          <w:sz w:val="22"/>
          <w:szCs w:val="22"/>
        </w:rPr>
        <w:t>Fakultní nemocnice v Motole</w:t>
      </w:r>
      <w:r w:rsidR="00681563" w:rsidRPr="00FF1394">
        <w:rPr>
          <w:b/>
          <w:sz w:val="22"/>
          <w:szCs w:val="22"/>
        </w:rPr>
        <w:br/>
      </w:r>
      <w:r w:rsidR="00681563" w:rsidRPr="00FF1394">
        <w:rPr>
          <w:sz w:val="22"/>
          <w:szCs w:val="22"/>
        </w:rPr>
        <w:t xml:space="preserve">státní příspěvková organizace </w:t>
      </w:r>
      <w:r w:rsidR="00681563" w:rsidRPr="00FF1394">
        <w:rPr>
          <w:sz w:val="22"/>
          <w:szCs w:val="22"/>
          <w:highlight w:val="yellow"/>
        </w:rPr>
        <w:br/>
      </w:r>
      <w:r w:rsidR="00C10EA8" w:rsidRPr="00FF1394">
        <w:rPr>
          <w:sz w:val="22"/>
          <w:szCs w:val="22"/>
        </w:rPr>
        <w:t>IČ</w:t>
      </w:r>
      <w:r w:rsidR="00A86D58" w:rsidRPr="00FF1394">
        <w:rPr>
          <w:sz w:val="22"/>
          <w:szCs w:val="22"/>
        </w:rPr>
        <w:t>O</w:t>
      </w:r>
      <w:r w:rsidR="006F3952" w:rsidRPr="00FF1394">
        <w:rPr>
          <w:sz w:val="22"/>
          <w:szCs w:val="22"/>
        </w:rPr>
        <w:t>:</w:t>
      </w:r>
      <w:r w:rsidR="00C10EA8" w:rsidRPr="00FF1394">
        <w:rPr>
          <w:sz w:val="22"/>
          <w:szCs w:val="22"/>
        </w:rPr>
        <w:t xml:space="preserve"> </w:t>
      </w:r>
      <w:r w:rsidRPr="00FF1394">
        <w:rPr>
          <w:sz w:val="22"/>
          <w:szCs w:val="22"/>
        </w:rPr>
        <w:t>00064203</w:t>
      </w:r>
    </w:p>
    <w:p w:rsidR="00A86D58" w:rsidRPr="00FF1394" w:rsidRDefault="00C10EA8" w:rsidP="008D0BB7">
      <w:pPr>
        <w:rPr>
          <w:sz w:val="22"/>
          <w:szCs w:val="22"/>
        </w:rPr>
      </w:pPr>
      <w:r w:rsidRPr="00FF1394">
        <w:rPr>
          <w:sz w:val="22"/>
          <w:szCs w:val="22"/>
        </w:rPr>
        <w:t xml:space="preserve">DIČ: </w:t>
      </w:r>
      <w:r w:rsidR="009C7D6E" w:rsidRPr="00FF1394">
        <w:rPr>
          <w:sz w:val="22"/>
          <w:szCs w:val="22"/>
        </w:rPr>
        <w:t>CZ00064203</w:t>
      </w:r>
      <w:r w:rsidR="00681563" w:rsidRPr="00FF1394">
        <w:rPr>
          <w:sz w:val="22"/>
          <w:szCs w:val="22"/>
        </w:rPr>
        <w:br/>
        <w:t xml:space="preserve">se sídlem: v Praze </w:t>
      </w:r>
      <w:r w:rsidR="009C7D6E" w:rsidRPr="00FF1394">
        <w:rPr>
          <w:sz w:val="22"/>
          <w:szCs w:val="22"/>
        </w:rPr>
        <w:t>5</w:t>
      </w:r>
      <w:r w:rsidR="00681563" w:rsidRPr="00FF1394">
        <w:rPr>
          <w:sz w:val="22"/>
          <w:szCs w:val="22"/>
        </w:rPr>
        <w:t xml:space="preserve">, </w:t>
      </w:r>
      <w:r w:rsidR="009C7D6E" w:rsidRPr="00FF1394">
        <w:rPr>
          <w:sz w:val="22"/>
          <w:szCs w:val="22"/>
        </w:rPr>
        <w:t>V Úvalu 84</w:t>
      </w:r>
      <w:r w:rsidR="00681563" w:rsidRPr="00FF1394">
        <w:rPr>
          <w:sz w:val="22"/>
          <w:szCs w:val="22"/>
        </w:rPr>
        <w:t xml:space="preserve">, PSČ </w:t>
      </w:r>
      <w:r w:rsidR="009C7D6E" w:rsidRPr="00FF1394">
        <w:rPr>
          <w:sz w:val="22"/>
          <w:szCs w:val="22"/>
        </w:rPr>
        <w:t>150 06</w:t>
      </w:r>
      <w:r w:rsidR="00681563" w:rsidRPr="00FF1394">
        <w:rPr>
          <w:sz w:val="22"/>
          <w:szCs w:val="22"/>
        </w:rPr>
        <w:br/>
      </w:r>
      <w:r w:rsidR="008D0BB7" w:rsidRPr="00FF1394">
        <w:rPr>
          <w:sz w:val="22"/>
          <w:szCs w:val="22"/>
        </w:rPr>
        <w:t xml:space="preserve">zastoupena: JUDr. Ing. Miloslavem Ludvíkem, MBA, ředitelem </w:t>
      </w:r>
      <w:r w:rsidR="00A86D58" w:rsidRPr="00FF1394">
        <w:rPr>
          <w:sz w:val="22"/>
          <w:szCs w:val="22"/>
        </w:rPr>
        <w:t>(dále jen „ FN Motol“)</w:t>
      </w:r>
      <w:r w:rsidR="00391FAE" w:rsidRPr="00FF1394">
        <w:rPr>
          <w:sz w:val="22"/>
          <w:szCs w:val="22"/>
        </w:rPr>
        <w:t xml:space="preserve"> na straně jedné</w:t>
      </w:r>
    </w:p>
    <w:p w:rsidR="00681563" w:rsidRPr="00FF1394" w:rsidRDefault="00681563" w:rsidP="00681563">
      <w:pPr>
        <w:rPr>
          <w:sz w:val="22"/>
          <w:szCs w:val="22"/>
        </w:rPr>
      </w:pPr>
      <w:r w:rsidRPr="00FF1394">
        <w:rPr>
          <w:sz w:val="22"/>
          <w:szCs w:val="22"/>
        </w:rPr>
        <w:br/>
        <w:t>a</w:t>
      </w:r>
    </w:p>
    <w:p w:rsidR="00C10EA8" w:rsidRPr="00FF1394" w:rsidRDefault="00C10EA8" w:rsidP="00681563">
      <w:pPr>
        <w:rPr>
          <w:sz w:val="22"/>
          <w:szCs w:val="22"/>
        </w:rPr>
      </w:pPr>
    </w:p>
    <w:p w:rsidR="00B20569" w:rsidRPr="00FF1394" w:rsidRDefault="00391FAE" w:rsidP="00681563">
      <w:pPr>
        <w:rPr>
          <w:b/>
          <w:sz w:val="22"/>
          <w:szCs w:val="22"/>
        </w:rPr>
      </w:pPr>
      <w:r w:rsidRPr="00FF1394">
        <w:rPr>
          <w:b/>
          <w:sz w:val="22"/>
          <w:szCs w:val="22"/>
          <w:highlight w:val="yellow"/>
        </w:rPr>
        <w:t>…………………………………</w:t>
      </w:r>
    </w:p>
    <w:p w:rsidR="00445497" w:rsidRPr="00FF1394" w:rsidRDefault="00445497" w:rsidP="00681563">
      <w:pPr>
        <w:rPr>
          <w:sz w:val="22"/>
          <w:szCs w:val="22"/>
        </w:rPr>
      </w:pPr>
      <w:r w:rsidRPr="00FF1394">
        <w:rPr>
          <w:sz w:val="22"/>
          <w:szCs w:val="22"/>
        </w:rPr>
        <w:t>zapsaná v obchodním rejstříku vedeném soudem (doplnit), oddíl (doplnit) vložka (doplnit)</w:t>
      </w:r>
    </w:p>
    <w:p w:rsidR="00391FAE" w:rsidRPr="00FF1394" w:rsidRDefault="00681563" w:rsidP="007763B6">
      <w:pPr>
        <w:rPr>
          <w:sz w:val="22"/>
          <w:szCs w:val="22"/>
        </w:rPr>
      </w:pPr>
      <w:r w:rsidRPr="00FF1394">
        <w:rPr>
          <w:sz w:val="22"/>
          <w:szCs w:val="22"/>
        </w:rPr>
        <w:t>IČ</w:t>
      </w:r>
      <w:r w:rsidR="00391FAE" w:rsidRPr="00FF1394">
        <w:rPr>
          <w:sz w:val="22"/>
          <w:szCs w:val="22"/>
        </w:rPr>
        <w:t>O</w:t>
      </w:r>
      <w:r w:rsidR="00391FAE" w:rsidRPr="00FF1394">
        <w:rPr>
          <w:sz w:val="22"/>
          <w:szCs w:val="22"/>
          <w:highlight w:val="yellow"/>
        </w:rPr>
        <w:t>:…………………………….</w:t>
      </w:r>
    </w:p>
    <w:p w:rsidR="00391FAE" w:rsidRPr="00FF1394" w:rsidRDefault="00391FAE" w:rsidP="007763B6">
      <w:pPr>
        <w:rPr>
          <w:sz w:val="22"/>
          <w:szCs w:val="22"/>
        </w:rPr>
      </w:pPr>
      <w:r w:rsidRPr="00FF1394">
        <w:rPr>
          <w:sz w:val="22"/>
          <w:szCs w:val="22"/>
        </w:rPr>
        <w:t>DIČ:</w:t>
      </w:r>
      <w:r w:rsidRPr="00FF1394">
        <w:rPr>
          <w:sz w:val="22"/>
          <w:szCs w:val="22"/>
          <w:highlight w:val="yellow"/>
        </w:rPr>
        <w:t>…………………………….</w:t>
      </w:r>
      <w:r w:rsidR="00D6325F" w:rsidRPr="00FF1394">
        <w:rPr>
          <w:sz w:val="22"/>
          <w:szCs w:val="22"/>
        </w:rPr>
        <w:t xml:space="preserve"> </w:t>
      </w:r>
      <w:r w:rsidR="00D6325F" w:rsidRPr="00FF1394">
        <w:rPr>
          <w:b/>
          <w:sz w:val="22"/>
          <w:szCs w:val="22"/>
          <w:highlight w:val="yellow"/>
          <w:u w:val="single"/>
        </w:rPr>
        <w:t xml:space="preserve">– vyplňuje se </w:t>
      </w:r>
      <w:proofErr w:type="gramStart"/>
      <w:r w:rsidR="00D6325F" w:rsidRPr="00FF1394">
        <w:rPr>
          <w:b/>
          <w:sz w:val="22"/>
          <w:szCs w:val="22"/>
          <w:highlight w:val="yellow"/>
          <w:u w:val="single"/>
        </w:rPr>
        <w:t>pouze je</w:t>
      </w:r>
      <w:proofErr w:type="gramEnd"/>
      <w:r w:rsidR="00D6325F" w:rsidRPr="00FF1394">
        <w:rPr>
          <w:b/>
          <w:sz w:val="22"/>
          <w:szCs w:val="22"/>
          <w:highlight w:val="yellow"/>
          <w:u w:val="single"/>
        </w:rPr>
        <w:t>-li přiděleno</w:t>
      </w:r>
    </w:p>
    <w:p w:rsidR="00391FAE" w:rsidRPr="00FF1394" w:rsidRDefault="00391FAE" w:rsidP="00391FAE">
      <w:pPr>
        <w:rPr>
          <w:sz w:val="22"/>
          <w:szCs w:val="22"/>
        </w:rPr>
      </w:pPr>
      <w:r w:rsidRPr="00FF1394">
        <w:rPr>
          <w:sz w:val="22"/>
          <w:szCs w:val="22"/>
        </w:rPr>
        <w:t xml:space="preserve">se sídlem </w:t>
      </w:r>
      <w:r w:rsidRPr="00FF1394">
        <w:rPr>
          <w:sz w:val="22"/>
          <w:szCs w:val="22"/>
          <w:highlight w:val="yellow"/>
        </w:rPr>
        <w:t>……………………….</w:t>
      </w:r>
    </w:p>
    <w:p w:rsidR="00681563" w:rsidRPr="00FF1394" w:rsidRDefault="00681563" w:rsidP="00681563">
      <w:pPr>
        <w:rPr>
          <w:sz w:val="22"/>
          <w:szCs w:val="22"/>
          <w:lang w:val="en-US"/>
        </w:rPr>
      </w:pPr>
      <w:r w:rsidRPr="00FF1394">
        <w:rPr>
          <w:sz w:val="22"/>
          <w:szCs w:val="22"/>
        </w:rPr>
        <w:t>zastoupen</w:t>
      </w:r>
      <w:r w:rsidR="00391FAE" w:rsidRPr="00FF1394">
        <w:rPr>
          <w:rStyle w:val="Siln"/>
          <w:b w:val="0"/>
          <w:sz w:val="22"/>
          <w:szCs w:val="22"/>
        </w:rPr>
        <w:t>a:………………………………</w:t>
      </w:r>
    </w:p>
    <w:p w:rsidR="00681563" w:rsidRPr="00FF1394" w:rsidRDefault="00681563" w:rsidP="00681563">
      <w:pPr>
        <w:rPr>
          <w:sz w:val="22"/>
          <w:szCs w:val="22"/>
        </w:rPr>
      </w:pPr>
      <w:r w:rsidRPr="00FF1394">
        <w:rPr>
          <w:sz w:val="22"/>
          <w:szCs w:val="22"/>
        </w:rPr>
        <w:t>(dále jen „</w:t>
      </w:r>
      <w:r w:rsidR="00423584" w:rsidRPr="00FF1394">
        <w:rPr>
          <w:sz w:val="22"/>
          <w:szCs w:val="22"/>
        </w:rPr>
        <w:t>poskytovatel zdravotních služeb</w:t>
      </w:r>
      <w:r w:rsidRPr="00FF1394">
        <w:rPr>
          <w:sz w:val="22"/>
          <w:szCs w:val="22"/>
        </w:rPr>
        <w:t>“) na straně druhé,</w:t>
      </w:r>
    </w:p>
    <w:p w:rsidR="00391FAE" w:rsidRPr="00FF1394" w:rsidRDefault="00F6514A" w:rsidP="00681563">
      <w:pPr>
        <w:rPr>
          <w:sz w:val="22"/>
          <w:szCs w:val="22"/>
        </w:rPr>
      </w:pPr>
      <w:r w:rsidRPr="00FF1394">
        <w:rPr>
          <w:sz w:val="22"/>
          <w:szCs w:val="22"/>
        </w:rPr>
        <w:t>(</w:t>
      </w:r>
      <w:r w:rsidR="00391FAE" w:rsidRPr="00FF1394">
        <w:rPr>
          <w:sz w:val="22"/>
          <w:szCs w:val="22"/>
        </w:rPr>
        <w:t>společně dále jen „smluvní strany“</w:t>
      </w:r>
      <w:r w:rsidRPr="00FF1394">
        <w:rPr>
          <w:sz w:val="22"/>
          <w:szCs w:val="22"/>
        </w:rPr>
        <w:t>)</w:t>
      </w:r>
    </w:p>
    <w:p w:rsidR="00CB288F" w:rsidRPr="00FF1394" w:rsidRDefault="00CB288F" w:rsidP="00681563">
      <w:pPr>
        <w:rPr>
          <w:sz w:val="22"/>
          <w:szCs w:val="22"/>
        </w:rPr>
      </w:pPr>
    </w:p>
    <w:p w:rsidR="00681563" w:rsidRPr="00FF1394" w:rsidRDefault="00681563" w:rsidP="00681563">
      <w:pPr>
        <w:jc w:val="both"/>
        <w:rPr>
          <w:sz w:val="22"/>
          <w:szCs w:val="22"/>
        </w:rPr>
      </w:pPr>
      <w:r w:rsidRPr="00FF1394">
        <w:rPr>
          <w:sz w:val="22"/>
          <w:szCs w:val="22"/>
        </w:rPr>
        <w:t>uzavírají podle ustanovení</w:t>
      </w:r>
      <w:r w:rsidR="00C822B0" w:rsidRPr="00FF1394">
        <w:rPr>
          <w:sz w:val="22"/>
          <w:szCs w:val="22"/>
        </w:rPr>
        <w:t xml:space="preserve"> čl. 98 odst. 2 Nařízení Evropského parlamentu a Rady (EU) č. 536/2014 ze dne 16. 4. 2014, o klinických hodnoceních humánních léčivých přípravků a o zrušení směrnice 2001/20/ES (dále jen „Nařízení EU“) a podle </w:t>
      </w:r>
      <w:proofErr w:type="spellStart"/>
      <w:r w:rsidR="00C822B0" w:rsidRPr="00FF1394">
        <w:rPr>
          <w:sz w:val="22"/>
          <w:szCs w:val="22"/>
        </w:rPr>
        <w:t>ust</w:t>
      </w:r>
      <w:proofErr w:type="spellEnd"/>
      <w:r w:rsidR="00C822B0" w:rsidRPr="00FF1394">
        <w:rPr>
          <w:sz w:val="22"/>
          <w:szCs w:val="22"/>
        </w:rPr>
        <w:t>.</w:t>
      </w:r>
      <w:r w:rsidRPr="00FF1394">
        <w:rPr>
          <w:sz w:val="22"/>
          <w:szCs w:val="22"/>
        </w:rPr>
        <w:t xml:space="preserve"> § 53 odst. 1 zákona č. 378/2007 Sb., o léčivech a o změnách některých souvisejících zákonů</w:t>
      </w:r>
      <w:r w:rsidR="007A44D1" w:rsidRPr="00FF1394">
        <w:rPr>
          <w:sz w:val="22"/>
          <w:szCs w:val="22"/>
        </w:rPr>
        <w:t xml:space="preserve">, ve znění </w:t>
      </w:r>
      <w:r w:rsidR="00C822B0" w:rsidRPr="00FF1394">
        <w:rPr>
          <w:sz w:val="22"/>
          <w:szCs w:val="22"/>
        </w:rPr>
        <w:t xml:space="preserve">účinném do </w:t>
      </w:r>
      <w:r w:rsidR="00E03342" w:rsidRPr="00FF1394">
        <w:rPr>
          <w:sz w:val="22"/>
          <w:szCs w:val="22"/>
        </w:rPr>
        <w:t>31. 7. 2021</w:t>
      </w:r>
      <w:r w:rsidR="00C822B0" w:rsidRPr="00FF1394">
        <w:rPr>
          <w:sz w:val="22"/>
          <w:szCs w:val="22"/>
        </w:rPr>
        <w:t xml:space="preserve"> </w:t>
      </w:r>
      <w:r w:rsidRPr="00FF1394">
        <w:rPr>
          <w:sz w:val="22"/>
          <w:szCs w:val="22"/>
        </w:rPr>
        <w:t>(</w:t>
      </w:r>
      <w:r w:rsidR="007A44D1" w:rsidRPr="00FF1394">
        <w:rPr>
          <w:sz w:val="22"/>
          <w:szCs w:val="22"/>
        </w:rPr>
        <w:t>dále jen „</w:t>
      </w:r>
      <w:r w:rsidRPr="00FF1394">
        <w:rPr>
          <w:sz w:val="22"/>
          <w:szCs w:val="22"/>
        </w:rPr>
        <w:t>zákon o léčivech</w:t>
      </w:r>
      <w:r w:rsidR="007A44D1" w:rsidRPr="00FF1394">
        <w:rPr>
          <w:sz w:val="22"/>
          <w:szCs w:val="22"/>
        </w:rPr>
        <w:t>“</w:t>
      </w:r>
      <w:r w:rsidRPr="00FF1394">
        <w:rPr>
          <w:sz w:val="22"/>
          <w:szCs w:val="22"/>
        </w:rPr>
        <w:t xml:space="preserve">) a </w:t>
      </w:r>
      <w:r w:rsidR="006F3952" w:rsidRPr="00FF1394">
        <w:rPr>
          <w:sz w:val="22"/>
          <w:szCs w:val="22"/>
        </w:rPr>
        <w:t xml:space="preserve">dle </w:t>
      </w:r>
      <w:r w:rsidR="007A44D1" w:rsidRPr="00FF1394">
        <w:rPr>
          <w:sz w:val="22"/>
          <w:szCs w:val="22"/>
        </w:rPr>
        <w:t xml:space="preserve">ustanovení </w:t>
      </w:r>
      <w:r w:rsidRPr="00FF1394">
        <w:rPr>
          <w:sz w:val="22"/>
          <w:szCs w:val="22"/>
        </w:rPr>
        <w:t xml:space="preserve">§ </w:t>
      </w:r>
      <w:r w:rsidR="00C10EA8" w:rsidRPr="00FF1394">
        <w:rPr>
          <w:sz w:val="22"/>
          <w:szCs w:val="22"/>
        </w:rPr>
        <w:t>1746 odst. 2</w:t>
      </w:r>
      <w:r w:rsidRPr="00FF1394">
        <w:rPr>
          <w:sz w:val="22"/>
          <w:szCs w:val="22"/>
        </w:rPr>
        <w:t xml:space="preserve"> zákona č. </w:t>
      </w:r>
      <w:r w:rsidR="00C10EA8" w:rsidRPr="00FF1394">
        <w:rPr>
          <w:sz w:val="22"/>
          <w:szCs w:val="22"/>
        </w:rPr>
        <w:t>89</w:t>
      </w:r>
      <w:r w:rsidRPr="00FF1394">
        <w:rPr>
          <w:sz w:val="22"/>
          <w:szCs w:val="22"/>
        </w:rPr>
        <w:t>/</w:t>
      </w:r>
      <w:r w:rsidR="00C10EA8" w:rsidRPr="00FF1394">
        <w:rPr>
          <w:sz w:val="22"/>
          <w:szCs w:val="22"/>
        </w:rPr>
        <w:t>2012</w:t>
      </w:r>
      <w:r w:rsidRPr="00FF1394">
        <w:rPr>
          <w:sz w:val="22"/>
          <w:szCs w:val="22"/>
        </w:rPr>
        <w:t xml:space="preserve"> Sb., občanský zákoník</w:t>
      </w:r>
      <w:r w:rsidR="007A44D1" w:rsidRPr="00FF1394">
        <w:rPr>
          <w:sz w:val="22"/>
          <w:szCs w:val="22"/>
        </w:rPr>
        <w:t>, ve znění pozdějších předpisů</w:t>
      </w:r>
      <w:r w:rsidR="00445497" w:rsidRPr="00FF1394">
        <w:rPr>
          <w:sz w:val="22"/>
          <w:szCs w:val="22"/>
        </w:rPr>
        <w:t xml:space="preserve"> (dále jen „občanský zákoník“)</w:t>
      </w:r>
      <w:r w:rsidRPr="00FF1394">
        <w:rPr>
          <w:sz w:val="22"/>
          <w:szCs w:val="22"/>
        </w:rPr>
        <w:t xml:space="preserve">, tuto </w:t>
      </w:r>
      <w:r w:rsidR="00A86D58" w:rsidRPr="00FF1394">
        <w:rPr>
          <w:sz w:val="22"/>
          <w:szCs w:val="22"/>
        </w:rPr>
        <w:t xml:space="preserve">smlouvu </w:t>
      </w:r>
      <w:r w:rsidR="00423584" w:rsidRPr="00FF1394">
        <w:rPr>
          <w:sz w:val="22"/>
          <w:szCs w:val="22"/>
        </w:rPr>
        <w:t>o spolupráci</w:t>
      </w:r>
    </w:p>
    <w:p w:rsidR="00C10EA8" w:rsidRPr="00FF1394" w:rsidRDefault="00C10EA8" w:rsidP="00681563">
      <w:pPr>
        <w:jc w:val="both"/>
        <w:rPr>
          <w:sz w:val="22"/>
          <w:szCs w:val="22"/>
        </w:rPr>
      </w:pPr>
    </w:p>
    <w:p w:rsidR="00681563" w:rsidRPr="00FF1394" w:rsidRDefault="00681563" w:rsidP="00681563">
      <w:pPr>
        <w:pStyle w:val="Nadpis2"/>
        <w:rPr>
          <w:sz w:val="22"/>
          <w:szCs w:val="22"/>
        </w:rPr>
      </w:pPr>
      <w:r w:rsidRPr="00FF1394">
        <w:rPr>
          <w:sz w:val="22"/>
          <w:szCs w:val="22"/>
        </w:rPr>
        <w:br/>
        <w:t>Úvodní ustanovení</w:t>
      </w:r>
    </w:p>
    <w:p w:rsidR="00681563" w:rsidRPr="00FF1394" w:rsidRDefault="00423584" w:rsidP="00681563">
      <w:pPr>
        <w:pStyle w:val="odrkyslovan"/>
        <w:rPr>
          <w:b/>
          <w:sz w:val="22"/>
          <w:szCs w:val="22"/>
        </w:rPr>
      </w:pPr>
      <w:r w:rsidRPr="00FF1394">
        <w:rPr>
          <w:sz w:val="22"/>
          <w:szCs w:val="22"/>
        </w:rPr>
        <w:t>FN Motol</w:t>
      </w:r>
      <w:r w:rsidR="00681563" w:rsidRPr="00FF1394">
        <w:rPr>
          <w:sz w:val="22"/>
          <w:szCs w:val="22"/>
        </w:rPr>
        <w:t xml:space="preserve"> </w:t>
      </w:r>
      <w:r w:rsidRPr="00FF1394">
        <w:rPr>
          <w:sz w:val="22"/>
          <w:szCs w:val="22"/>
        </w:rPr>
        <w:t xml:space="preserve">je zřizovatelem </w:t>
      </w:r>
      <w:r w:rsidR="00681563" w:rsidRPr="00FF1394">
        <w:rPr>
          <w:sz w:val="22"/>
          <w:szCs w:val="22"/>
        </w:rPr>
        <w:t>Etick</w:t>
      </w:r>
      <w:r w:rsidRPr="00FF1394">
        <w:rPr>
          <w:sz w:val="22"/>
          <w:szCs w:val="22"/>
        </w:rPr>
        <w:t>é</w:t>
      </w:r>
      <w:r w:rsidR="00681563" w:rsidRPr="00FF1394">
        <w:rPr>
          <w:sz w:val="22"/>
          <w:szCs w:val="22"/>
        </w:rPr>
        <w:t xml:space="preserve"> komis</w:t>
      </w:r>
      <w:r w:rsidRPr="00FF1394">
        <w:rPr>
          <w:sz w:val="22"/>
          <w:szCs w:val="22"/>
        </w:rPr>
        <w:t>e Fakultní nemocnice v Motole</w:t>
      </w:r>
      <w:r w:rsidR="00681563" w:rsidRPr="00FF1394">
        <w:rPr>
          <w:sz w:val="22"/>
          <w:szCs w:val="22"/>
        </w:rPr>
        <w:t xml:space="preserve"> (dále jen „EK</w:t>
      </w:r>
      <w:r w:rsidRPr="00FF1394">
        <w:rPr>
          <w:sz w:val="22"/>
          <w:szCs w:val="22"/>
        </w:rPr>
        <w:t xml:space="preserve"> FN Motol</w:t>
      </w:r>
      <w:r w:rsidR="00681563" w:rsidRPr="00FF1394">
        <w:rPr>
          <w:sz w:val="22"/>
          <w:szCs w:val="22"/>
        </w:rPr>
        <w:t xml:space="preserve">“) ve smyslu zákona o léčivech. EK </w:t>
      </w:r>
      <w:r w:rsidRPr="00FF1394">
        <w:rPr>
          <w:sz w:val="22"/>
          <w:szCs w:val="22"/>
        </w:rPr>
        <w:t xml:space="preserve">FN Motol </w:t>
      </w:r>
      <w:r w:rsidR="00681563" w:rsidRPr="00FF1394">
        <w:rPr>
          <w:sz w:val="22"/>
          <w:szCs w:val="22"/>
        </w:rPr>
        <w:t xml:space="preserve">byla Ministerstvem zdravotnictví </w:t>
      </w:r>
      <w:r w:rsidR="00445497" w:rsidRPr="00FF1394">
        <w:rPr>
          <w:sz w:val="22"/>
          <w:szCs w:val="22"/>
        </w:rPr>
        <w:t xml:space="preserve">ČR </w:t>
      </w:r>
      <w:r w:rsidR="00681563" w:rsidRPr="00FF1394">
        <w:rPr>
          <w:sz w:val="22"/>
          <w:szCs w:val="22"/>
        </w:rPr>
        <w:t xml:space="preserve">určena i jako </w:t>
      </w:r>
      <w:r w:rsidRPr="00FF1394">
        <w:rPr>
          <w:sz w:val="22"/>
          <w:szCs w:val="22"/>
        </w:rPr>
        <w:t>etická komise</w:t>
      </w:r>
      <w:r w:rsidR="00681563" w:rsidRPr="00FF1394">
        <w:rPr>
          <w:sz w:val="22"/>
          <w:szCs w:val="22"/>
        </w:rPr>
        <w:t xml:space="preserve"> vydávající stanoviska k </w:t>
      </w:r>
      <w:proofErr w:type="spellStart"/>
      <w:r w:rsidR="00681563" w:rsidRPr="00FF1394">
        <w:rPr>
          <w:sz w:val="22"/>
          <w:szCs w:val="22"/>
        </w:rPr>
        <w:t>multicentrickým</w:t>
      </w:r>
      <w:proofErr w:type="spellEnd"/>
      <w:r w:rsidR="00681563" w:rsidRPr="00FF1394">
        <w:rPr>
          <w:sz w:val="22"/>
          <w:szCs w:val="22"/>
        </w:rPr>
        <w:t xml:space="preserve"> klinickým hodnocením.</w:t>
      </w:r>
    </w:p>
    <w:p w:rsidR="00681563" w:rsidRPr="00FF1394" w:rsidRDefault="00423584" w:rsidP="00681563">
      <w:pPr>
        <w:pStyle w:val="odrkyslovan"/>
        <w:rPr>
          <w:b/>
          <w:sz w:val="22"/>
          <w:szCs w:val="22"/>
        </w:rPr>
      </w:pPr>
      <w:r w:rsidRPr="00FF1394">
        <w:rPr>
          <w:sz w:val="22"/>
          <w:szCs w:val="22"/>
        </w:rPr>
        <w:t>Poskytovatel zdravotních služeb</w:t>
      </w:r>
      <w:r w:rsidR="00681563" w:rsidRPr="00FF1394">
        <w:rPr>
          <w:sz w:val="22"/>
          <w:szCs w:val="22"/>
        </w:rPr>
        <w:t xml:space="preserve"> v souladu s</w:t>
      </w:r>
      <w:r w:rsidR="00F6514A" w:rsidRPr="00FF1394">
        <w:rPr>
          <w:sz w:val="22"/>
          <w:szCs w:val="22"/>
        </w:rPr>
        <w:t xml:space="preserve"> ustanovením </w:t>
      </w:r>
      <w:r w:rsidR="00681563" w:rsidRPr="00FF1394">
        <w:rPr>
          <w:sz w:val="22"/>
          <w:szCs w:val="22"/>
        </w:rPr>
        <w:t xml:space="preserve">§ 53 odst. 1 zákona o léčivech požádal </w:t>
      </w:r>
      <w:r w:rsidR="00F6514A" w:rsidRPr="00FF1394">
        <w:rPr>
          <w:sz w:val="22"/>
          <w:szCs w:val="22"/>
        </w:rPr>
        <w:t>FN Motol</w:t>
      </w:r>
      <w:r w:rsidR="00681563" w:rsidRPr="00FF1394">
        <w:rPr>
          <w:sz w:val="22"/>
          <w:szCs w:val="22"/>
        </w:rPr>
        <w:t>, aby EK</w:t>
      </w:r>
      <w:r w:rsidRPr="00FF1394">
        <w:rPr>
          <w:sz w:val="22"/>
          <w:szCs w:val="22"/>
        </w:rPr>
        <w:t xml:space="preserve"> FN Motol</w:t>
      </w:r>
      <w:r w:rsidR="00681563" w:rsidRPr="00FF1394">
        <w:rPr>
          <w:sz w:val="22"/>
          <w:szCs w:val="22"/>
        </w:rPr>
        <w:t xml:space="preserve"> mohla působit i pro </w:t>
      </w:r>
      <w:r w:rsidRPr="00FF1394">
        <w:rPr>
          <w:sz w:val="22"/>
          <w:szCs w:val="22"/>
        </w:rPr>
        <w:t>poskytovatele zdravotních služeb</w:t>
      </w:r>
      <w:r w:rsidR="00681563" w:rsidRPr="00FF1394">
        <w:rPr>
          <w:sz w:val="22"/>
          <w:szCs w:val="22"/>
        </w:rPr>
        <w:t xml:space="preserve"> podle ustanovení § 53 odst. 1 zákona o léčivech</w:t>
      </w:r>
      <w:r w:rsidRPr="00FF1394">
        <w:rPr>
          <w:sz w:val="22"/>
          <w:szCs w:val="22"/>
        </w:rPr>
        <w:t>, neboť sám poskytovatel zdravotních služeb nemá ustanovenou etickou komisi ve smyslu zákona o léčivech</w:t>
      </w:r>
      <w:r w:rsidR="00681563" w:rsidRPr="00FF1394">
        <w:rPr>
          <w:sz w:val="22"/>
          <w:szCs w:val="22"/>
        </w:rPr>
        <w:t>.</w:t>
      </w:r>
    </w:p>
    <w:p w:rsidR="00681563" w:rsidRPr="00FF1394" w:rsidRDefault="00681563" w:rsidP="00681563">
      <w:pPr>
        <w:pStyle w:val="Nadpis2"/>
        <w:rPr>
          <w:sz w:val="22"/>
          <w:szCs w:val="22"/>
        </w:rPr>
      </w:pPr>
      <w:r w:rsidRPr="00FF1394">
        <w:rPr>
          <w:sz w:val="22"/>
          <w:szCs w:val="22"/>
        </w:rPr>
        <w:br/>
        <w:t xml:space="preserve">Předmět </w:t>
      </w:r>
      <w:r w:rsidR="00A548C1" w:rsidRPr="00FF1394">
        <w:rPr>
          <w:sz w:val="22"/>
          <w:szCs w:val="22"/>
        </w:rPr>
        <w:t>smlouvy</w:t>
      </w:r>
    </w:p>
    <w:p w:rsidR="00D77D8A" w:rsidRPr="00FF1394" w:rsidRDefault="00F6514A" w:rsidP="00AF4CBC">
      <w:pPr>
        <w:jc w:val="both"/>
        <w:rPr>
          <w:sz w:val="22"/>
          <w:szCs w:val="22"/>
        </w:rPr>
      </w:pPr>
      <w:r w:rsidRPr="00FF1394">
        <w:rPr>
          <w:sz w:val="22"/>
          <w:szCs w:val="22"/>
        </w:rPr>
        <w:t xml:space="preserve">Smluvní strany </w:t>
      </w:r>
      <w:r w:rsidR="00681563" w:rsidRPr="00FF1394">
        <w:rPr>
          <w:sz w:val="22"/>
          <w:szCs w:val="22"/>
        </w:rPr>
        <w:t xml:space="preserve">se dohodly, že EK </w:t>
      </w:r>
      <w:r w:rsidR="00423584" w:rsidRPr="00FF1394">
        <w:rPr>
          <w:sz w:val="22"/>
          <w:szCs w:val="22"/>
        </w:rPr>
        <w:t>FN Motol</w:t>
      </w:r>
      <w:r w:rsidR="005F1037" w:rsidRPr="00FF1394">
        <w:rPr>
          <w:sz w:val="22"/>
          <w:szCs w:val="22"/>
        </w:rPr>
        <w:t xml:space="preserve"> </w:t>
      </w:r>
      <w:r w:rsidR="00681563" w:rsidRPr="00FF1394">
        <w:rPr>
          <w:sz w:val="22"/>
          <w:szCs w:val="22"/>
        </w:rPr>
        <w:t xml:space="preserve">provede pro </w:t>
      </w:r>
      <w:r w:rsidR="00423584" w:rsidRPr="00FF1394">
        <w:rPr>
          <w:sz w:val="22"/>
          <w:szCs w:val="22"/>
        </w:rPr>
        <w:t>poskytovatele zdravotních služeb</w:t>
      </w:r>
      <w:r w:rsidR="00681563" w:rsidRPr="00FF1394">
        <w:rPr>
          <w:sz w:val="22"/>
          <w:szCs w:val="22"/>
        </w:rPr>
        <w:t xml:space="preserve"> posouzení klinické</w:t>
      </w:r>
      <w:r w:rsidR="00445497" w:rsidRPr="00FF1394">
        <w:rPr>
          <w:sz w:val="22"/>
          <w:szCs w:val="22"/>
        </w:rPr>
        <w:t>ho</w:t>
      </w:r>
      <w:r w:rsidR="00681563" w:rsidRPr="00FF1394">
        <w:rPr>
          <w:sz w:val="22"/>
          <w:szCs w:val="22"/>
        </w:rPr>
        <w:t xml:space="preserve"> hodnocení</w:t>
      </w:r>
      <w:r w:rsidR="001C75D1" w:rsidRPr="00FF1394">
        <w:rPr>
          <w:sz w:val="22"/>
          <w:szCs w:val="22"/>
        </w:rPr>
        <w:t xml:space="preserve"> s názvem:</w:t>
      </w:r>
      <w:r w:rsidR="00FE6CDC" w:rsidRPr="00FF1394">
        <w:rPr>
          <w:sz w:val="22"/>
          <w:szCs w:val="22"/>
        </w:rPr>
        <w:t xml:space="preserve"> </w:t>
      </w:r>
      <w:r w:rsidR="00391FAE" w:rsidRPr="00FF1394">
        <w:rPr>
          <w:b/>
          <w:sz w:val="22"/>
          <w:szCs w:val="22"/>
          <w:highlight w:val="yellow"/>
        </w:rPr>
        <w:t>…………………………………………</w:t>
      </w:r>
      <w:proofErr w:type="gramStart"/>
      <w:r w:rsidR="00391FAE" w:rsidRPr="00FF1394">
        <w:rPr>
          <w:b/>
          <w:sz w:val="22"/>
          <w:szCs w:val="22"/>
          <w:highlight w:val="yellow"/>
        </w:rPr>
        <w:t>…..</w:t>
      </w:r>
      <w:r w:rsidR="00FE6CDC" w:rsidRPr="00FF1394">
        <w:rPr>
          <w:sz w:val="22"/>
          <w:szCs w:val="22"/>
        </w:rPr>
        <w:t>č.</w:t>
      </w:r>
      <w:proofErr w:type="gramEnd"/>
      <w:r w:rsidR="00FE6CDC" w:rsidRPr="00FF1394">
        <w:rPr>
          <w:sz w:val="22"/>
          <w:szCs w:val="22"/>
        </w:rPr>
        <w:t xml:space="preserve"> protokolu</w:t>
      </w:r>
      <w:r w:rsidR="00FE6CDC" w:rsidRPr="00FF1394">
        <w:rPr>
          <w:b/>
          <w:sz w:val="22"/>
          <w:szCs w:val="22"/>
        </w:rPr>
        <w:t xml:space="preserve"> </w:t>
      </w:r>
      <w:r w:rsidR="00391FAE" w:rsidRPr="00FF1394">
        <w:rPr>
          <w:b/>
          <w:sz w:val="22"/>
          <w:szCs w:val="22"/>
          <w:highlight w:val="yellow"/>
        </w:rPr>
        <w:t>………………………………………..</w:t>
      </w:r>
      <w:r w:rsidR="001C75D1" w:rsidRPr="00FF1394">
        <w:rPr>
          <w:sz w:val="22"/>
          <w:szCs w:val="22"/>
        </w:rPr>
        <w:t>(dále jen „klinické hodnocení“)</w:t>
      </w:r>
      <w:r w:rsidR="00FE6CDC" w:rsidRPr="00FF1394">
        <w:rPr>
          <w:sz w:val="22"/>
          <w:szCs w:val="22"/>
        </w:rPr>
        <w:t>,</w:t>
      </w:r>
      <w:r w:rsidR="00681563" w:rsidRPr="00FF1394">
        <w:rPr>
          <w:sz w:val="22"/>
          <w:szCs w:val="22"/>
        </w:rPr>
        <w:t xml:space="preserve"> zadavatel</w:t>
      </w:r>
      <w:r w:rsidR="001C75D1" w:rsidRPr="00FF1394">
        <w:rPr>
          <w:sz w:val="22"/>
          <w:szCs w:val="22"/>
        </w:rPr>
        <w:t>e</w:t>
      </w:r>
      <w:r w:rsidR="00391FAE" w:rsidRPr="00FF1394">
        <w:rPr>
          <w:sz w:val="22"/>
          <w:szCs w:val="22"/>
        </w:rPr>
        <w:t xml:space="preserve"> </w:t>
      </w:r>
      <w:r w:rsidR="00391FAE" w:rsidRPr="00FF1394">
        <w:rPr>
          <w:sz w:val="22"/>
          <w:szCs w:val="22"/>
          <w:highlight w:val="yellow"/>
        </w:rPr>
        <w:t>……………………………</w:t>
      </w:r>
      <w:r w:rsidR="00FE6CDC" w:rsidRPr="00FF1394">
        <w:rPr>
          <w:sz w:val="22"/>
          <w:szCs w:val="22"/>
          <w:highlight w:val="yellow"/>
        </w:rPr>
        <w:t>,</w:t>
      </w:r>
      <w:r w:rsidR="00CB288F" w:rsidRPr="00FF1394">
        <w:rPr>
          <w:sz w:val="22"/>
          <w:szCs w:val="22"/>
        </w:rPr>
        <w:t xml:space="preserve"> </w:t>
      </w:r>
      <w:r w:rsidR="001C75D1" w:rsidRPr="00FF1394">
        <w:rPr>
          <w:sz w:val="22"/>
          <w:szCs w:val="22"/>
        </w:rPr>
        <w:t xml:space="preserve">s hlavním </w:t>
      </w:r>
      <w:r w:rsidR="00CB288F" w:rsidRPr="00FF1394">
        <w:rPr>
          <w:sz w:val="22"/>
          <w:szCs w:val="22"/>
        </w:rPr>
        <w:t>zkoušející</w:t>
      </w:r>
      <w:r w:rsidR="001C75D1" w:rsidRPr="00FF1394">
        <w:rPr>
          <w:sz w:val="22"/>
          <w:szCs w:val="22"/>
        </w:rPr>
        <w:t>m</w:t>
      </w:r>
      <w:r w:rsidR="00CB288F" w:rsidRPr="00FF1394">
        <w:rPr>
          <w:sz w:val="22"/>
          <w:szCs w:val="22"/>
        </w:rPr>
        <w:t xml:space="preserve"> </w:t>
      </w:r>
      <w:r w:rsidR="00391FAE" w:rsidRPr="00FF1394">
        <w:rPr>
          <w:b/>
          <w:sz w:val="22"/>
          <w:szCs w:val="22"/>
          <w:highlight w:val="yellow"/>
        </w:rPr>
        <w:t>………………………………………</w:t>
      </w:r>
      <w:r w:rsidR="00681563" w:rsidRPr="00FF1394">
        <w:rPr>
          <w:b/>
          <w:sz w:val="22"/>
          <w:szCs w:val="22"/>
        </w:rPr>
        <w:t>,</w:t>
      </w:r>
      <w:r w:rsidR="00681563" w:rsidRPr="00FF1394">
        <w:rPr>
          <w:sz w:val="22"/>
          <w:szCs w:val="22"/>
        </w:rPr>
        <w:t xml:space="preserve"> a to v rozsahu působnosti místní/ lokální etické komise podle zákona o léčivech</w:t>
      </w:r>
      <w:r w:rsidR="00D77D8A" w:rsidRPr="00FF1394">
        <w:rPr>
          <w:sz w:val="22"/>
          <w:szCs w:val="22"/>
        </w:rPr>
        <w:t xml:space="preserve"> v tomto rozsahu:</w:t>
      </w:r>
    </w:p>
    <w:p w:rsidR="00681563" w:rsidRPr="00FF1394" w:rsidRDefault="00D77D8A" w:rsidP="00D77D8A">
      <w:pPr>
        <w:jc w:val="both"/>
        <w:rPr>
          <w:sz w:val="22"/>
          <w:szCs w:val="22"/>
        </w:rPr>
      </w:pPr>
      <w:r w:rsidRPr="00FF1394">
        <w:rPr>
          <w:sz w:val="22"/>
          <w:szCs w:val="22"/>
        </w:rPr>
        <w:t>posouzení klinického hodnocení a předložené dokumentace klinického hodnocení,</w:t>
      </w:r>
      <w:r w:rsidR="00681563" w:rsidRPr="00FF1394">
        <w:rPr>
          <w:sz w:val="22"/>
          <w:szCs w:val="22"/>
        </w:rPr>
        <w:t> </w:t>
      </w:r>
      <w:r w:rsidRPr="00FF1394">
        <w:rPr>
          <w:sz w:val="22"/>
          <w:szCs w:val="22"/>
        </w:rPr>
        <w:t>a výkon dohledu na</w:t>
      </w:r>
      <w:r w:rsidR="00391FAE" w:rsidRPr="00FF1394">
        <w:rPr>
          <w:sz w:val="22"/>
          <w:szCs w:val="22"/>
        </w:rPr>
        <w:t>d</w:t>
      </w:r>
      <w:r w:rsidRPr="00FF1394">
        <w:rPr>
          <w:sz w:val="22"/>
          <w:szCs w:val="22"/>
        </w:rPr>
        <w:t xml:space="preserve"> průběhem klinického hodnocení</w:t>
      </w:r>
      <w:r w:rsidR="00681563" w:rsidRPr="00FF1394">
        <w:rPr>
          <w:sz w:val="22"/>
          <w:szCs w:val="22"/>
        </w:rPr>
        <w:t>.</w:t>
      </w:r>
    </w:p>
    <w:p w:rsidR="00E11262" w:rsidRPr="00FF1394" w:rsidRDefault="00E11262" w:rsidP="00E11262">
      <w:pPr>
        <w:pStyle w:val="Odstavecseseznamem"/>
        <w:jc w:val="both"/>
        <w:rPr>
          <w:sz w:val="22"/>
          <w:szCs w:val="22"/>
        </w:rPr>
      </w:pPr>
    </w:p>
    <w:p w:rsidR="00681563" w:rsidRPr="00FF1394" w:rsidRDefault="00681563" w:rsidP="00681563">
      <w:pPr>
        <w:pStyle w:val="Nadpis2"/>
        <w:rPr>
          <w:sz w:val="22"/>
          <w:szCs w:val="22"/>
        </w:rPr>
      </w:pPr>
      <w:r w:rsidRPr="00FF1394">
        <w:rPr>
          <w:sz w:val="22"/>
          <w:szCs w:val="22"/>
        </w:rPr>
        <w:br/>
        <w:t>Povinnosti s</w:t>
      </w:r>
      <w:r w:rsidR="00A548C1" w:rsidRPr="00FF1394">
        <w:rPr>
          <w:sz w:val="22"/>
          <w:szCs w:val="22"/>
        </w:rPr>
        <w:t>mluvních stran</w:t>
      </w:r>
      <w:r w:rsidRPr="00FF1394">
        <w:rPr>
          <w:sz w:val="22"/>
          <w:szCs w:val="22"/>
        </w:rPr>
        <w:t xml:space="preserve"> </w:t>
      </w:r>
    </w:p>
    <w:p w:rsidR="00E56265" w:rsidRPr="00FF1394" w:rsidRDefault="00681563" w:rsidP="00134849">
      <w:pPr>
        <w:pStyle w:val="odrkyslovan"/>
        <w:numPr>
          <w:ilvl w:val="0"/>
          <w:numId w:val="17"/>
        </w:numPr>
        <w:rPr>
          <w:sz w:val="22"/>
          <w:szCs w:val="22"/>
        </w:rPr>
      </w:pPr>
      <w:r w:rsidRPr="00FF1394">
        <w:rPr>
          <w:sz w:val="22"/>
          <w:szCs w:val="22"/>
        </w:rPr>
        <w:t>EK</w:t>
      </w:r>
      <w:r w:rsidR="00A548C1" w:rsidRPr="00FF1394">
        <w:rPr>
          <w:sz w:val="22"/>
          <w:szCs w:val="22"/>
        </w:rPr>
        <w:t xml:space="preserve"> FN Motol</w:t>
      </w:r>
      <w:r w:rsidRPr="00FF1394">
        <w:rPr>
          <w:sz w:val="22"/>
          <w:szCs w:val="22"/>
        </w:rPr>
        <w:t xml:space="preserve"> je na základě této </w:t>
      </w:r>
      <w:r w:rsidR="00A548C1" w:rsidRPr="00FF1394">
        <w:rPr>
          <w:sz w:val="22"/>
          <w:szCs w:val="22"/>
        </w:rPr>
        <w:t>smlouvy</w:t>
      </w:r>
      <w:r w:rsidRPr="00FF1394">
        <w:rPr>
          <w:sz w:val="22"/>
          <w:szCs w:val="22"/>
        </w:rPr>
        <w:t xml:space="preserve"> povinna </w:t>
      </w:r>
      <w:r w:rsidR="00A548C1" w:rsidRPr="00FF1394">
        <w:rPr>
          <w:sz w:val="22"/>
          <w:szCs w:val="22"/>
        </w:rPr>
        <w:t>poskytovateli zdravotních služ</w:t>
      </w:r>
      <w:r w:rsidR="00391FAE" w:rsidRPr="00FF1394">
        <w:rPr>
          <w:sz w:val="22"/>
          <w:szCs w:val="22"/>
        </w:rPr>
        <w:t>e</w:t>
      </w:r>
      <w:r w:rsidR="00A548C1" w:rsidRPr="00FF1394">
        <w:rPr>
          <w:sz w:val="22"/>
          <w:szCs w:val="22"/>
        </w:rPr>
        <w:t xml:space="preserve">b </w:t>
      </w:r>
      <w:r w:rsidRPr="00FF1394">
        <w:rPr>
          <w:sz w:val="22"/>
          <w:szCs w:val="22"/>
        </w:rPr>
        <w:t xml:space="preserve">poskytnout stanovisko </w:t>
      </w:r>
      <w:r w:rsidR="00A548C1" w:rsidRPr="00FF1394">
        <w:rPr>
          <w:sz w:val="22"/>
          <w:szCs w:val="22"/>
        </w:rPr>
        <w:t xml:space="preserve">k protokolu klinického hodnocení, </w:t>
      </w:r>
      <w:r w:rsidRPr="00FF1394">
        <w:rPr>
          <w:sz w:val="22"/>
          <w:szCs w:val="22"/>
        </w:rPr>
        <w:t>vhodnosti zkoušejícího</w:t>
      </w:r>
      <w:r w:rsidR="00E56265" w:rsidRPr="00FF1394">
        <w:rPr>
          <w:sz w:val="22"/>
          <w:szCs w:val="22"/>
        </w:rPr>
        <w:t xml:space="preserve"> a </w:t>
      </w:r>
      <w:proofErr w:type="spellStart"/>
      <w:r w:rsidR="00E56265" w:rsidRPr="00FF1394">
        <w:rPr>
          <w:sz w:val="22"/>
          <w:szCs w:val="22"/>
        </w:rPr>
        <w:t>spoluzkoušejících</w:t>
      </w:r>
      <w:proofErr w:type="spellEnd"/>
      <w:r w:rsidRPr="00FF1394">
        <w:rPr>
          <w:sz w:val="22"/>
          <w:szCs w:val="22"/>
        </w:rPr>
        <w:t>,</w:t>
      </w:r>
      <w:r w:rsidR="001C2E96" w:rsidRPr="00FF1394">
        <w:rPr>
          <w:sz w:val="22"/>
          <w:szCs w:val="22"/>
        </w:rPr>
        <w:t xml:space="preserve"> </w:t>
      </w:r>
      <w:r w:rsidR="00E56265" w:rsidRPr="00FF1394">
        <w:rPr>
          <w:sz w:val="22"/>
          <w:szCs w:val="22"/>
        </w:rPr>
        <w:t>dále k místu provedení klinického hodnocení, k metodám a dokumentům používaný</w:t>
      </w:r>
      <w:r w:rsidR="00445497" w:rsidRPr="00FF1394">
        <w:rPr>
          <w:sz w:val="22"/>
          <w:szCs w:val="22"/>
        </w:rPr>
        <w:t>m</w:t>
      </w:r>
      <w:r w:rsidR="00E56265" w:rsidRPr="00FF1394">
        <w:rPr>
          <w:sz w:val="22"/>
          <w:szCs w:val="22"/>
        </w:rPr>
        <w:t xml:space="preserve"> pro informování subjektů hodnocení a získání jejich informovaného souhlasu, </w:t>
      </w:r>
      <w:r w:rsidR="001C2E96" w:rsidRPr="00FF1394">
        <w:rPr>
          <w:sz w:val="22"/>
          <w:szCs w:val="22"/>
        </w:rPr>
        <w:t xml:space="preserve">a </w:t>
      </w:r>
      <w:r w:rsidR="00E56265" w:rsidRPr="00FF1394">
        <w:rPr>
          <w:sz w:val="22"/>
          <w:szCs w:val="22"/>
        </w:rPr>
        <w:t xml:space="preserve">vyjádřit své stanovisko k provádění klinického hodnocení u poskytovatele zdravotních služeb. </w:t>
      </w:r>
    </w:p>
    <w:p w:rsidR="00D77D8A" w:rsidRPr="00FF1394" w:rsidRDefault="004972C7" w:rsidP="00134849">
      <w:pPr>
        <w:pStyle w:val="odrkyslovan"/>
        <w:numPr>
          <w:ilvl w:val="0"/>
          <w:numId w:val="17"/>
        </w:numPr>
        <w:rPr>
          <w:sz w:val="22"/>
          <w:szCs w:val="22"/>
        </w:rPr>
      </w:pPr>
      <w:r w:rsidRPr="00FF1394">
        <w:rPr>
          <w:sz w:val="22"/>
          <w:szCs w:val="22"/>
        </w:rPr>
        <w:t xml:space="preserve">EK </w:t>
      </w:r>
      <w:r w:rsidR="00E56265" w:rsidRPr="00FF1394">
        <w:rPr>
          <w:sz w:val="22"/>
          <w:szCs w:val="22"/>
        </w:rPr>
        <w:t xml:space="preserve">FN Motol </w:t>
      </w:r>
      <w:r w:rsidRPr="00FF1394">
        <w:rPr>
          <w:sz w:val="22"/>
          <w:szCs w:val="22"/>
        </w:rPr>
        <w:t xml:space="preserve">bude </w:t>
      </w:r>
      <w:r w:rsidR="00E56265" w:rsidRPr="00FF1394">
        <w:rPr>
          <w:sz w:val="22"/>
          <w:szCs w:val="22"/>
        </w:rPr>
        <w:t xml:space="preserve">dále </w:t>
      </w:r>
      <w:r w:rsidRPr="00FF1394">
        <w:rPr>
          <w:sz w:val="22"/>
          <w:szCs w:val="22"/>
        </w:rPr>
        <w:t>provádět dohled nad výše uvedeným klinickým hodnocením ve smyslu místní etické komise podle</w:t>
      </w:r>
      <w:r w:rsidR="00F6514A" w:rsidRPr="00FF1394">
        <w:rPr>
          <w:sz w:val="22"/>
          <w:szCs w:val="22"/>
        </w:rPr>
        <w:t xml:space="preserve"> ustanovení</w:t>
      </w:r>
      <w:r w:rsidRPr="00FF1394">
        <w:rPr>
          <w:sz w:val="22"/>
          <w:szCs w:val="22"/>
        </w:rPr>
        <w:t xml:space="preserve"> § 53 odst. 1</w:t>
      </w:r>
      <w:r w:rsidR="00D77D8A" w:rsidRPr="00FF1394">
        <w:rPr>
          <w:sz w:val="22"/>
          <w:szCs w:val="22"/>
        </w:rPr>
        <w:t>1</w:t>
      </w:r>
      <w:r w:rsidRPr="00FF1394">
        <w:rPr>
          <w:sz w:val="22"/>
          <w:szCs w:val="22"/>
        </w:rPr>
        <w:t xml:space="preserve"> zákona </w:t>
      </w:r>
      <w:r w:rsidR="00E56265" w:rsidRPr="00FF1394">
        <w:rPr>
          <w:sz w:val="22"/>
          <w:szCs w:val="22"/>
        </w:rPr>
        <w:t>o léčivech.</w:t>
      </w:r>
    </w:p>
    <w:p w:rsidR="00681563" w:rsidRPr="00FF1394" w:rsidRDefault="00D77D8A" w:rsidP="00134849">
      <w:pPr>
        <w:pStyle w:val="odrkyslovan"/>
        <w:numPr>
          <w:ilvl w:val="0"/>
          <w:numId w:val="17"/>
        </w:numPr>
        <w:rPr>
          <w:sz w:val="22"/>
          <w:szCs w:val="22"/>
        </w:rPr>
      </w:pPr>
      <w:r w:rsidRPr="00FF1394">
        <w:rPr>
          <w:sz w:val="22"/>
          <w:szCs w:val="22"/>
        </w:rPr>
        <w:t>EK FN Motol bude vykonávat svou činnost ve svých prostorách (s výjimkou dohledu nad klinickým hodnocením) po zákonem stanovenou dobu</w:t>
      </w:r>
      <w:r w:rsidR="00F6514A" w:rsidRPr="00FF1394">
        <w:rPr>
          <w:sz w:val="22"/>
          <w:szCs w:val="22"/>
        </w:rPr>
        <w:t>,</w:t>
      </w:r>
      <w:r w:rsidRPr="00FF1394">
        <w:rPr>
          <w:sz w:val="22"/>
          <w:szCs w:val="22"/>
        </w:rPr>
        <w:t xml:space="preserve"> a ve stanoveném rozsahu bude uchovávat záznamy o předmětném klinickém hodnocení, které bylo posuzováno pro poskytovatele zdravotních služeb.</w:t>
      </w:r>
    </w:p>
    <w:p w:rsidR="00681563" w:rsidRPr="00FF1394" w:rsidRDefault="00423584" w:rsidP="0092527E">
      <w:pPr>
        <w:pStyle w:val="odrkyslovan"/>
        <w:numPr>
          <w:ilvl w:val="0"/>
          <w:numId w:val="17"/>
        </w:numPr>
        <w:rPr>
          <w:sz w:val="22"/>
          <w:szCs w:val="22"/>
        </w:rPr>
      </w:pPr>
      <w:r w:rsidRPr="00FF1394">
        <w:rPr>
          <w:sz w:val="22"/>
          <w:szCs w:val="22"/>
        </w:rPr>
        <w:t>Poskytovatel zdravotních služeb</w:t>
      </w:r>
      <w:r w:rsidR="00681563" w:rsidRPr="00FF1394">
        <w:rPr>
          <w:sz w:val="22"/>
          <w:szCs w:val="22"/>
        </w:rPr>
        <w:t xml:space="preserve"> nejpozději do </w:t>
      </w:r>
      <w:r w:rsidR="005F1037" w:rsidRPr="00FF1394">
        <w:rPr>
          <w:sz w:val="22"/>
          <w:szCs w:val="22"/>
        </w:rPr>
        <w:t>14</w:t>
      </w:r>
      <w:r w:rsidR="00D12F5E" w:rsidRPr="00FF1394">
        <w:rPr>
          <w:sz w:val="22"/>
          <w:szCs w:val="22"/>
        </w:rPr>
        <w:t xml:space="preserve"> </w:t>
      </w:r>
      <w:r w:rsidR="00D77D8A" w:rsidRPr="00FF1394">
        <w:rPr>
          <w:sz w:val="22"/>
          <w:szCs w:val="22"/>
        </w:rPr>
        <w:t xml:space="preserve">ti </w:t>
      </w:r>
      <w:r w:rsidR="00681563" w:rsidRPr="00FF1394">
        <w:rPr>
          <w:sz w:val="22"/>
          <w:szCs w:val="22"/>
        </w:rPr>
        <w:t>pracovních dnů před konáním zasedání  EK</w:t>
      </w:r>
      <w:r w:rsidR="00D77D8A" w:rsidRPr="00FF1394">
        <w:rPr>
          <w:sz w:val="22"/>
          <w:szCs w:val="22"/>
        </w:rPr>
        <w:t xml:space="preserve"> FN Motol,</w:t>
      </w:r>
      <w:r w:rsidR="00681563" w:rsidRPr="00FF1394">
        <w:rPr>
          <w:sz w:val="22"/>
          <w:szCs w:val="22"/>
        </w:rPr>
        <w:t xml:space="preserve"> na kterém bude </w:t>
      </w:r>
      <w:r w:rsidR="00D77D8A" w:rsidRPr="00FF1394">
        <w:rPr>
          <w:sz w:val="22"/>
          <w:szCs w:val="22"/>
        </w:rPr>
        <w:t>klinické hodnocení</w:t>
      </w:r>
      <w:r w:rsidR="00681563" w:rsidRPr="00FF1394">
        <w:rPr>
          <w:sz w:val="22"/>
          <w:szCs w:val="22"/>
        </w:rPr>
        <w:t xml:space="preserve"> projednáváno</w:t>
      </w:r>
      <w:r w:rsidR="00F6514A" w:rsidRPr="00FF1394">
        <w:rPr>
          <w:sz w:val="22"/>
          <w:szCs w:val="22"/>
        </w:rPr>
        <w:t>,</w:t>
      </w:r>
      <w:r w:rsidR="00681563" w:rsidRPr="00FF1394">
        <w:rPr>
          <w:sz w:val="22"/>
          <w:szCs w:val="22"/>
        </w:rPr>
        <w:t xml:space="preserve"> zašle na sekretariát EK</w:t>
      </w:r>
      <w:r w:rsidR="00D77D8A" w:rsidRPr="00FF1394">
        <w:rPr>
          <w:sz w:val="22"/>
          <w:szCs w:val="22"/>
        </w:rPr>
        <w:t xml:space="preserve"> FN Motol</w:t>
      </w:r>
      <w:r w:rsidR="00681563" w:rsidRPr="00FF1394">
        <w:rPr>
          <w:sz w:val="22"/>
          <w:szCs w:val="22"/>
        </w:rPr>
        <w:t xml:space="preserve"> podklady potřebné k posouzení </w:t>
      </w:r>
      <w:r w:rsidR="00D77D8A" w:rsidRPr="00FF1394">
        <w:rPr>
          <w:sz w:val="22"/>
          <w:szCs w:val="22"/>
        </w:rPr>
        <w:t>klinického hodnocení</w:t>
      </w:r>
      <w:r w:rsidR="00681563" w:rsidRPr="00FF1394">
        <w:rPr>
          <w:sz w:val="22"/>
          <w:szCs w:val="22"/>
        </w:rPr>
        <w:t xml:space="preserve"> (</w:t>
      </w:r>
      <w:r w:rsidR="0092527E" w:rsidRPr="00FF1394">
        <w:rPr>
          <w:sz w:val="22"/>
          <w:szCs w:val="22"/>
        </w:rPr>
        <w:t>m</w:t>
      </w:r>
      <w:r w:rsidR="00681563" w:rsidRPr="00FF1394">
        <w:rPr>
          <w:sz w:val="22"/>
          <w:szCs w:val="22"/>
        </w:rPr>
        <w:t>j.</w:t>
      </w:r>
      <w:r w:rsidR="0092527E" w:rsidRPr="00FF1394">
        <w:rPr>
          <w:sz w:val="22"/>
          <w:szCs w:val="22"/>
        </w:rPr>
        <w:t xml:space="preserve"> také</w:t>
      </w:r>
      <w:r w:rsidR="00681563" w:rsidRPr="00FF1394">
        <w:rPr>
          <w:sz w:val="22"/>
          <w:szCs w:val="22"/>
        </w:rPr>
        <w:t xml:space="preserve"> životopis hlavního zkoušejícího a </w:t>
      </w:r>
      <w:proofErr w:type="spellStart"/>
      <w:r w:rsidR="00681563" w:rsidRPr="00FF1394">
        <w:rPr>
          <w:sz w:val="22"/>
          <w:szCs w:val="22"/>
        </w:rPr>
        <w:t>spoluzkoušejících</w:t>
      </w:r>
      <w:proofErr w:type="spellEnd"/>
      <w:r w:rsidR="00681563" w:rsidRPr="00FF1394">
        <w:rPr>
          <w:sz w:val="22"/>
          <w:szCs w:val="22"/>
        </w:rPr>
        <w:t xml:space="preserve">, rozhodnutí o registraci </w:t>
      </w:r>
      <w:r w:rsidR="00D77D8A" w:rsidRPr="00FF1394">
        <w:rPr>
          <w:sz w:val="22"/>
          <w:szCs w:val="22"/>
        </w:rPr>
        <w:t>poskytovatele zdravotních služeb</w:t>
      </w:r>
      <w:r w:rsidR="00681563" w:rsidRPr="00FF1394">
        <w:rPr>
          <w:sz w:val="22"/>
          <w:szCs w:val="22"/>
        </w:rPr>
        <w:t xml:space="preserve"> a prohlášení o vhodnosti </w:t>
      </w:r>
      <w:r w:rsidR="00D77D8A" w:rsidRPr="00FF1394">
        <w:rPr>
          <w:sz w:val="22"/>
          <w:szCs w:val="22"/>
        </w:rPr>
        <w:t>místa</w:t>
      </w:r>
      <w:r w:rsidR="00681563" w:rsidRPr="00FF1394">
        <w:rPr>
          <w:sz w:val="22"/>
          <w:szCs w:val="22"/>
        </w:rPr>
        <w:t xml:space="preserve"> pro provedení posuzovaného </w:t>
      </w:r>
      <w:r w:rsidR="00D77D8A" w:rsidRPr="00FF1394">
        <w:rPr>
          <w:sz w:val="22"/>
          <w:szCs w:val="22"/>
        </w:rPr>
        <w:t>klinického hodnocení</w:t>
      </w:r>
      <w:r w:rsidR="00681563" w:rsidRPr="00FF1394">
        <w:rPr>
          <w:sz w:val="22"/>
          <w:szCs w:val="22"/>
        </w:rPr>
        <w:t xml:space="preserve">, podepsané statutárním orgánem </w:t>
      </w:r>
      <w:r w:rsidR="00D77D8A" w:rsidRPr="00FF1394">
        <w:rPr>
          <w:sz w:val="22"/>
          <w:szCs w:val="22"/>
        </w:rPr>
        <w:t>poskytovatele zdravotních služeb</w:t>
      </w:r>
      <w:r w:rsidR="00681563" w:rsidRPr="00FF1394">
        <w:rPr>
          <w:sz w:val="22"/>
          <w:szCs w:val="22"/>
        </w:rPr>
        <w:t xml:space="preserve"> nebo hlavním zkoušejícím, pokud má soukromou praxi).</w:t>
      </w:r>
      <w:r w:rsidR="00B209A8" w:rsidRPr="00FF1394">
        <w:rPr>
          <w:sz w:val="22"/>
          <w:szCs w:val="22"/>
        </w:rPr>
        <w:t xml:space="preserve"> Poskytovatel zdravotních služeb je odpovědný</w:t>
      </w:r>
      <w:r w:rsidR="00F70C6E" w:rsidRPr="00FF1394">
        <w:rPr>
          <w:sz w:val="22"/>
          <w:szCs w:val="22"/>
        </w:rPr>
        <w:t xml:space="preserve"> za to</w:t>
      </w:r>
      <w:r w:rsidR="00B209A8" w:rsidRPr="00FF1394">
        <w:rPr>
          <w:sz w:val="22"/>
          <w:szCs w:val="22"/>
        </w:rPr>
        <w:t>, že podklady potřebné pro posouzení klinického hodnocení jsou předloženy v souladu se zákonem o léčivech a požadavky EK FN Motol.</w:t>
      </w:r>
      <w:r w:rsidR="00681563" w:rsidRPr="00FF1394">
        <w:rPr>
          <w:sz w:val="22"/>
          <w:szCs w:val="22"/>
        </w:rPr>
        <w:t xml:space="preserve"> </w:t>
      </w:r>
      <w:r w:rsidRPr="00FF1394">
        <w:rPr>
          <w:sz w:val="22"/>
          <w:szCs w:val="22"/>
        </w:rPr>
        <w:t>Poskytovatel zdravotních služeb</w:t>
      </w:r>
      <w:r w:rsidR="00681563" w:rsidRPr="00FF1394">
        <w:rPr>
          <w:sz w:val="22"/>
          <w:szCs w:val="22"/>
        </w:rPr>
        <w:t xml:space="preserve"> umožní členům EK</w:t>
      </w:r>
      <w:r w:rsidR="00D12F5E" w:rsidRPr="00FF1394">
        <w:rPr>
          <w:sz w:val="22"/>
          <w:szCs w:val="22"/>
        </w:rPr>
        <w:t xml:space="preserve"> FN Motol</w:t>
      </w:r>
      <w:r w:rsidR="00681563" w:rsidRPr="00FF1394">
        <w:rPr>
          <w:sz w:val="22"/>
          <w:szCs w:val="22"/>
        </w:rPr>
        <w:t xml:space="preserve"> kontrolu </w:t>
      </w:r>
      <w:r w:rsidR="00D12F5E" w:rsidRPr="00FF1394">
        <w:rPr>
          <w:sz w:val="22"/>
          <w:szCs w:val="22"/>
        </w:rPr>
        <w:t>místa provedení klinického hodnocení</w:t>
      </w:r>
      <w:r w:rsidR="00681563" w:rsidRPr="00FF1394">
        <w:rPr>
          <w:sz w:val="22"/>
          <w:szCs w:val="22"/>
        </w:rPr>
        <w:t xml:space="preserve"> a průběhu </w:t>
      </w:r>
      <w:r w:rsidR="00D12F5E" w:rsidRPr="00FF1394">
        <w:rPr>
          <w:sz w:val="22"/>
          <w:szCs w:val="22"/>
        </w:rPr>
        <w:t>klinického hodnocení</w:t>
      </w:r>
      <w:r w:rsidR="00681563" w:rsidRPr="00FF1394">
        <w:rPr>
          <w:sz w:val="22"/>
          <w:szCs w:val="22"/>
        </w:rPr>
        <w:t xml:space="preserve"> v souladu s platnými právními předpisy. Na základě požadavku EK</w:t>
      </w:r>
      <w:r w:rsidR="00D12F5E" w:rsidRPr="00FF1394">
        <w:rPr>
          <w:sz w:val="22"/>
          <w:szCs w:val="22"/>
        </w:rPr>
        <w:t xml:space="preserve"> FN Motol</w:t>
      </w:r>
      <w:r w:rsidR="00681563" w:rsidRPr="00FF1394">
        <w:rPr>
          <w:sz w:val="22"/>
          <w:szCs w:val="22"/>
        </w:rPr>
        <w:t xml:space="preserve"> </w:t>
      </w:r>
      <w:r w:rsidR="00D12F5E" w:rsidRPr="00FF1394">
        <w:rPr>
          <w:sz w:val="22"/>
          <w:szCs w:val="22"/>
        </w:rPr>
        <w:t xml:space="preserve">poskytovatel zdravotních služeb </w:t>
      </w:r>
      <w:r w:rsidR="00681563" w:rsidRPr="00FF1394">
        <w:rPr>
          <w:sz w:val="22"/>
          <w:szCs w:val="22"/>
        </w:rPr>
        <w:t xml:space="preserve">sdělí, kolik </w:t>
      </w:r>
      <w:r w:rsidR="00D12F5E" w:rsidRPr="00FF1394">
        <w:rPr>
          <w:sz w:val="22"/>
          <w:szCs w:val="22"/>
        </w:rPr>
        <w:t>u něho probíhá klinických hodnocení</w:t>
      </w:r>
      <w:r w:rsidR="00F6514A" w:rsidRPr="00FF1394">
        <w:rPr>
          <w:sz w:val="22"/>
          <w:szCs w:val="22"/>
        </w:rPr>
        <w:t>.</w:t>
      </w:r>
    </w:p>
    <w:p w:rsidR="00681563" w:rsidRPr="00FF1394" w:rsidRDefault="00423584" w:rsidP="0092527E">
      <w:pPr>
        <w:pStyle w:val="odrkyslovan"/>
        <w:numPr>
          <w:ilvl w:val="0"/>
          <w:numId w:val="17"/>
        </w:numPr>
        <w:rPr>
          <w:sz w:val="22"/>
          <w:szCs w:val="22"/>
        </w:rPr>
      </w:pPr>
      <w:r w:rsidRPr="00FF1394">
        <w:rPr>
          <w:sz w:val="22"/>
          <w:szCs w:val="22"/>
        </w:rPr>
        <w:t>Poskytovatel zdravotních služeb</w:t>
      </w:r>
      <w:r w:rsidR="00681563" w:rsidRPr="00FF1394">
        <w:rPr>
          <w:sz w:val="22"/>
          <w:szCs w:val="22"/>
        </w:rPr>
        <w:t xml:space="preserve"> se dále zavazuje, že po dobu účinnosti této </w:t>
      </w:r>
      <w:r w:rsidR="00A548C1" w:rsidRPr="00FF1394">
        <w:rPr>
          <w:sz w:val="22"/>
          <w:szCs w:val="22"/>
        </w:rPr>
        <w:t>smlouvy</w:t>
      </w:r>
      <w:r w:rsidR="00681563" w:rsidRPr="00FF1394">
        <w:rPr>
          <w:sz w:val="22"/>
          <w:szCs w:val="22"/>
        </w:rPr>
        <w:t xml:space="preserve"> neuzavře na posuzování</w:t>
      </w:r>
      <w:r w:rsidR="00D12F5E" w:rsidRPr="00FF1394">
        <w:rPr>
          <w:sz w:val="22"/>
          <w:szCs w:val="22"/>
        </w:rPr>
        <w:t xml:space="preserve"> předmětného</w:t>
      </w:r>
      <w:r w:rsidR="00681563" w:rsidRPr="00FF1394">
        <w:rPr>
          <w:sz w:val="22"/>
          <w:szCs w:val="22"/>
        </w:rPr>
        <w:t xml:space="preserve"> </w:t>
      </w:r>
      <w:r w:rsidR="00D12F5E" w:rsidRPr="00FF1394">
        <w:rPr>
          <w:sz w:val="22"/>
          <w:szCs w:val="22"/>
        </w:rPr>
        <w:t>klinického hodnocení</w:t>
      </w:r>
      <w:r w:rsidR="00681563" w:rsidRPr="00FF1394">
        <w:rPr>
          <w:sz w:val="22"/>
          <w:szCs w:val="22"/>
        </w:rPr>
        <w:t xml:space="preserve"> </w:t>
      </w:r>
      <w:r w:rsidR="00D12F5E" w:rsidRPr="00FF1394">
        <w:rPr>
          <w:sz w:val="22"/>
          <w:szCs w:val="22"/>
        </w:rPr>
        <w:t>smlouvu</w:t>
      </w:r>
      <w:r w:rsidR="00681563" w:rsidRPr="00FF1394">
        <w:rPr>
          <w:sz w:val="22"/>
          <w:szCs w:val="22"/>
        </w:rPr>
        <w:t xml:space="preserve"> s</w:t>
      </w:r>
      <w:r w:rsidR="00D12F5E" w:rsidRPr="00FF1394">
        <w:rPr>
          <w:sz w:val="22"/>
          <w:szCs w:val="22"/>
        </w:rPr>
        <w:t> </w:t>
      </w:r>
      <w:r w:rsidR="00681563" w:rsidRPr="00FF1394">
        <w:rPr>
          <w:sz w:val="22"/>
          <w:szCs w:val="22"/>
        </w:rPr>
        <w:t>žádn</w:t>
      </w:r>
      <w:r w:rsidR="00D12F5E" w:rsidRPr="00FF1394">
        <w:rPr>
          <w:sz w:val="22"/>
          <w:szCs w:val="22"/>
        </w:rPr>
        <w:t>ým jiným zřizovatel</w:t>
      </w:r>
      <w:r w:rsidR="00445497" w:rsidRPr="00FF1394">
        <w:rPr>
          <w:sz w:val="22"/>
          <w:szCs w:val="22"/>
        </w:rPr>
        <w:t>em</w:t>
      </w:r>
      <w:r w:rsidR="00681563" w:rsidRPr="00FF1394">
        <w:rPr>
          <w:sz w:val="22"/>
          <w:szCs w:val="22"/>
        </w:rPr>
        <w:t xml:space="preserve"> jin</w:t>
      </w:r>
      <w:r w:rsidR="00D12F5E" w:rsidRPr="00FF1394">
        <w:rPr>
          <w:sz w:val="22"/>
          <w:szCs w:val="22"/>
        </w:rPr>
        <w:t xml:space="preserve">é </w:t>
      </w:r>
      <w:r w:rsidR="00681563" w:rsidRPr="00FF1394">
        <w:rPr>
          <w:sz w:val="22"/>
          <w:szCs w:val="22"/>
        </w:rPr>
        <w:t>etick</w:t>
      </w:r>
      <w:r w:rsidR="00D12F5E" w:rsidRPr="00FF1394">
        <w:rPr>
          <w:sz w:val="22"/>
          <w:szCs w:val="22"/>
        </w:rPr>
        <w:t>é</w:t>
      </w:r>
      <w:r w:rsidR="00681563" w:rsidRPr="00FF1394">
        <w:rPr>
          <w:sz w:val="22"/>
          <w:szCs w:val="22"/>
        </w:rPr>
        <w:t xml:space="preserve"> komis</w:t>
      </w:r>
      <w:r w:rsidR="00D12F5E" w:rsidRPr="00FF1394">
        <w:rPr>
          <w:sz w:val="22"/>
          <w:szCs w:val="22"/>
        </w:rPr>
        <w:t>e</w:t>
      </w:r>
      <w:r w:rsidR="00681563" w:rsidRPr="00FF1394">
        <w:rPr>
          <w:sz w:val="22"/>
          <w:szCs w:val="22"/>
        </w:rPr>
        <w:t xml:space="preserve">. </w:t>
      </w:r>
    </w:p>
    <w:p w:rsidR="00681563" w:rsidRPr="00FF1394" w:rsidRDefault="00681563" w:rsidP="0092527E">
      <w:pPr>
        <w:pStyle w:val="odrkyslovan"/>
        <w:numPr>
          <w:ilvl w:val="0"/>
          <w:numId w:val="17"/>
        </w:numPr>
        <w:rPr>
          <w:sz w:val="22"/>
          <w:szCs w:val="22"/>
        </w:rPr>
      </w:pPr>
      <w:r w:rsidRPr="00FF1394">
        <w:rPr>
          <w:sz w:val="22"/>
          <w:szCs w:val="22"/>
        </w:rPr>
        <w:t xml:space="preserve">Pokud je </w:t>
      </w:r>
      <w:r w:rsidR="00E56265" w:rsidRPr="00FF1394">
        <w:rPr>
          <w:sz w:val="22"/>
          <w:szCs w:val="22"/>
        </w:rPr>
        <w:t>místo provedení klinického hodnocení</w:t>
      </w:r>
      <w:r w:rsidRPr="00FF1394">
        <w:rPr>
          <w:sz w:val="22"/>
          <w:szCs w:val="22"/>
        </w:rPr>
        <w:t xml:space="preserve">, kde se </w:t>
      </w:r>
      <w:r w:rsidR="00E56265" w:rsidRPr="00FF1394">
        <w:rPr>
          <w:sz w:val="22"/>
          <w:szCs w:val="22"/>
        </w:rPr>
        <w:t>bude provádět</w:t>
      </w:r>
      <w:r w:rsidRPr="00FF1394">
        <w:rPr>
          <w:sz w:val="22"/>
          <w:szCs w:val="22"/>
        </w:rPr>
        <w:t xml:space="preserve"> klinické hodnocení</w:t>
      </w:r>
      <w:r w:rsidR="00F6514A" w:rsidRPr="00FF1394">
        <w:rPr>
          <w:sz w:val="22"/>
          <w:szCs w:val="22"/>
        </w:rPr>
        <w:t>,</w:t>
      </w:r>
      <w:r w:rsidRPr="00FF1394">
        <w:rPr>
          <w:sz w:val="22"/>
          <w:szCs w:val="22"/>
        </w:rPr>
        <w:t xml:space="preserve"> na jiné adrese, než je sídlo </w:t>
      </w:r>
      <w:r w:rsidR="00E56265" w:rsidRPr="00FF1394">
        <w:rPr>
          <w:sz w:val="22"/>
          <w:szCs w:val="22"/>
        </w:rPr>
        <w:t>poskytovatele zdravotních služeb</w:t>
      </w:r>
      <w:r w:rsidRPr="00FF1394">
        <w:rPr>
          <w:sz w:val="22"/>
          <w:szCs w:val="22"/>
        </w:rPr>
        <w:t xml:space="preserve"> uvedené v záhlaví této </w:t>
      </w:r>
      <w:r w:rsidR="00A548C1" w:rsidRPr="00FF1394">
        <w:rPr>
          <w:sz w:val="22"/>
          <w:szCs w:val="22"/>
        </w:rPr>
        <w:t>smlouvy</w:t>
      </w:r>
      <w:r w:rsidRPr="00FF1394">
        <w:rPr>
          <w:sz w:val="22"/>
          <w:szCs w:val="22"/>
        </w:rPr>
        <w:t xml:space="preserve">, uvede </w:t>
      </w:r>
      <w:r w:rsidR="00423584" w:rsidRPr="00FF1394">
        <w:rPr>
          <w:sz w:val="22"/>
          <w:szCs w:val="22"/>
        </w:rPr>
        <w:t>poskytovatel zdravotních služeb</w:t>
      </w:r>
      <w:r w:rsidRPr="00FF1394">
        <w:rPr>
          <w:sz w:val="22"/>
          <w:szCs w:val="22"/>
        </w:rPr>
        <w:t xml:space="preserve"> adresu, kde bude klinické hodnocení fakticky probíhat:</w:t>
      </w:r>
      <w:r w:rsidR="00391FAE" w:rsidRPr="00FF1394">
        <w:rPr>
          <w:sz w:val="22"/>
          <w:szCs w:val="22"/>
          <w:highlight w:val="yellow"/>
        </w:rPr>
        <w:t>……………………………………………………</w:t>
      </w:r>
      <w:proofErr w:type="gramStart"/>
      <w:r w:rsidR="00391FAE" w:rsidRPr="00FF1394">
        <w:rPr>
          <w:sz w:val="22"/>
          <w:szCs w:val="22"/>
          <w:highlight w:val="yellow"/>
        </w:rPr>
        <w:t>….</w:t>
      </w:r>
      <w:r w:rsidR="008616E8" w:rsidRPr="00FF1394">
        <w:rPr>
          <w:sz w:val="22"/>
          <w:szCs w:val="22"/>
          <w:highlight w:val="yellow"/>
        </w:rPr>
        <w:t>.</w:t>
      </w:r>
      <w:proofErr w:type="gramEnd"/>
    </w:p>
    <w:p w:rsidR="00E11262" w:rsidRPr="00FF1394" w:rsidRDefault="00E56265" w:rsidP="00E11262">
      <w:pPr>
        <w:jc w:val="center"/>
        <w:rPr>
          <w:sz w:val="22"/>
          <w:szCs w:val="22"/>
        </w:rPr>
      </w:pPr>
      <w:r w:rsidRPr="00FF1394">
        <w:rPr>
          <w:sz w:val="22"/>
          <w:szCs w:val="22"/>
        </w:rPr>
        <w:t>Čl. IV.</w:t>
      </w:r>
    </w:p>
    <w:p w:rsidR="00E11262" w:rsidRPr="00FF1394" w:rsidRDefault="00E11262" w:rsidP="00E11262">
      <w:pPr>
        <w:jc w:val="center"/>
        <w:rPr>
          <w:b/>
          <w:sz w:val="22"/>
          <w:szCs w:val="22"/>
        </w:rPr>
      </w:pPr>
      <w:r w:rsidRPr="00FF1394">
        <w:rPr>
          <w:b/>
          <w:sz w:val="22"/>
          <w:szCs w:val="22"/>
        </w:rPr>
        <w:t>Platební podmínky</w:t>
      </w:r>
    </w:p>
    <w:p w:rsidR="00E11262" w:rsidRPr="00FF1394" w:rsidRDefault="00E11262" w:rsidP="00E11262">
      <w:pPr>
        <w:jc w:val="center"/>
        <w:rPr>
          <w:b/>
          <w:sz w:val="22"/>
          <w:szCs w:val="22"/>
        </w:rPr>
      </w:pPr>
    </w:p>
    <w:p w:rsidR="00E11262" w:rsidRPr="00FF1394" w:rsidRDefault="001C75D1" w:rsidP="000C6577">
      <w:pPr>
        <w:pStyle w:val="odrkyslovan"/>
        <w:numPr>
          <w:ilvl w:val="0"/>
          <w:numId w:val="0"/>
        </w:numPr>
        <w:rPr>
          <w:sz w:val="22"/>
          <w:szCs w:val="22"/>
        </w:rPr>
      </w:pPr>
      <w:r w:rsidRPr="00FF1394">
        <w:rPr>
          <w:sz w:val="22"/>
          <w:szCs w:val="22"/>
        </w:rPr>
        <w:t>Poskytovatel zdravotních služeb</w:t>
      </w:r>
      <w:r w:rsidR="00B43FC2" w:rsidRPr="00FF1394">
        <w:rPr>
          <w:sz w:val="22"/>
          <w:szCs w:val="22"/>
        </w:rPr>
        <w:t xml:space="preserve"> uhradí za </w:t>
      </w:r>
      <w:r w:rsidRPr="00FF1394">
        <w:rPr>
          <w:sz w:val="22"/>
          <w:szCs w:val="22"/>
        </w:rPr>
        <w:t>shora uvedené</w:t>
      </w:r>
      <w:r w:rsidR="00B43FC2" w:rsidRPr="00FF1394">
        <w:rPr>
          <w:sz w:val="22"/>
          <w:szCs w:val="22"/>
        </w:rPr>
        <w:t xml:space="preserve"> činnosti </w:t>
      </w:r>
      <w:r w:rsidRPr="00FF1394">
        <w:rPr>
          <w:sz w:val="22"/>
          <w:szCs w:val="22"/>
        </w:rPr>
        <w:t>celkovou částku</w:t>
      </w:r>
      <w:r w:rsidR="00B43FC2" w:rsidRPr="00FF1394">
        <w:rPr>
          <w:sz w:val="22"/>
          <w:szCs w:val="22"/>
        </w:rPr>
        <w:t>, kter</w:t>
      </w:r>
      <w:r w:rsidRPr="00FF1394">
        <w:rPr>
          <w:sz w:val="22"/>
          <w:szCs w:val="22"/>
        </w:rPr>
        <w:t>á</w:t>
      </w:r>
      <w:r w:rsidR="00B43FC2" w:rsidRPr="00FF1394">
        <w:rPr>
          <w:sz w:val="22"/>
          <w:szCs w:val="22"/>
        </w:rPr>
        <w:t xml:space="preserve"> činí </w:t>
      </w:r>
      <w:r w:rsidR="00954FA2" w:rsidRPr="00FF1394">
        <w:rPr>
          <w:sz w:val="22"/>
          <w:szCs w:val="22"/>
        </w:rPr>
        <w:t>10</w:t>
      </w:r>
      <w:r w:rsidR="00D6325F" w:rsidRPr="00FF1394">
        <w:rPr>
          <w:sz w:val="22"/>
          <w:szCs w:val="22"/>
        </w:rPr>
        <w:t>.</w:t>
      </w:r>
      <w:r w:rsidR="00954FA2" w:rsidRPr="00FF1394">
        <w:rPr>
          <w:sz w:val="22"/>
          <w:szCs w:val="22"/>
        </w:rPr>
        <w:t xml:space="preserve">000,-Kč </w:t>
      </w:r>
      <w:r w:rsidRPr="00FF1394">
        <w:rPr>
          <w:sz w:val="22"/>
          <w:szCs w:val="22"/>
        </w:rPr>
        <w:t>(slovy:</w:t>
      </w:r>
      <w:r w:rsidR="00F6514A" w:rsidRPr="00FF1394">
        <w:rPr>
          <w:sz w:val="22"/>
          <w:szCs w:val="22"/>
        </w:rPr>
        <w:t>deset</w:t>
      </w:r>
      <w:r w:rsidR="00D6325F" w:rsidRPr="00FF1394">
        <w:rPr>
          <w:sz w:val="22"/>
          <w:szCs w:val="22"/>
        </w:rPr>
        <w:t xml:space="preserve"> </w:t>
      </w:r>
      <w:r w:rsidR="00F6514A" w:rsidRPr="00FF1394">
        <w:rPr>
          <w:sz w:val="22"/>
          <w:szCs w:val="22"/>
        </w:rPr>
        <w:t>tisíc</w:t>
      </w:r>
      <w:r w:rsidR="00D6325F" w:rsidRPr="00FF1394">
        <w:rPr>
          <w:sz w:val="22"/>
          <w:szCs w:val="22"/>
        </w:rPr>
        <w:t xml:space="preserve"> </w:t>
      </w:r>
      <w:r w:rsidR="00F6514A" w:rsidRPr="00FF1394">
        <w:rPr>
          <w:sz w:val="22"/>
          <w:szCs w:val="22"/>
        </w:rPr>
        <w:t>korun</w:t>
      </w:r>
      <w:r w:rsidR="00D6325F" w:rsidRPr="00FF1394">
        <w:rPr>
          <w:sz w:val="22"/>
          <w:szCs w:val="22"/>
        </w:rPr>
        <w:t xml:space="preserve"> </w:t>
      </w:r>
      <w:r w:rsidR="00F6514A" w:rsidRPr="00FF1394">
        <w:rPr>
          <w:sz w:val="22"/>
          <w:szCs w:val="22"/>
        </w:rPr>
        <w:t>českých</w:t>
      </w:r>
      <w:r w:rsidRPr="00FF1394">
        <w:rPr>
          <w:sz w:val="22"/>
          <w:szCs w:val="22"/>
        </w:rPr>
        <w:t>)</w:t>
      </w:r>
      <w:r w:rsidR="00391FAE" w:rsidRPr="00FF1394">
        <w:rPr>
          <w:sz w:val="22"/>
          <w:szCs w:val="22"/>
        </w:rPr>
        <w:t xml:space="preserve"> </w:t>
      </w:r>
      <w:r w:rsidR="00954FA2" w:rsidRPr="00FF1394">
        <w:rPr>
          <w:sz w:val="22"/>
          <w:szCs w:val="22"/>
        </w:rPr>
        <w:t>bez DPH</w:t>
      </w:r>
      <w:r w:rsidR="00581592" w:rsidRPr="00FF1394">
        <w:rPr>
          <w:sz w:val="22"/>
          <w:szCs w:val="22"/>
        </w:rPr>
        <w:t xml:space="preserve"> dle platného ceníku EK FN Motol</w:t>
      </w:r>
      <w:r w:rsidRPr="00FF1394">
        <w:rPr>
          <w:sz w:val="22"/>
          <w:szCs w:val="22"/>
        </w:rPr>
        <w:t xml:space="preserve">. Splatnost faktury je 30 (třicet) dnů ode dne, kdy byla poskytovateli zdravotních služeb </w:t>
      </w:r>
      <w:r w:rsidR="00F6514A" w:rsidRPr="00FF1394">
        <w:rPr>
          <w:sz w:val="22"/>
          <w:szCs w:val="22"/>
        </w:rPr>
        <w:t xml:space="preserve">faktura </w:t>
      </w:r>
      <w:r w:rsidRPr="00FF1394">
        <w:rPr>
          <w:sz w:val="22"/>
          <w:szCs w:val="22"/>
        </w:rPr>
        <w:t xml:space="preserve">doručena. </w:t>
      </w:r>
    </w:p>
    <w:p w:rsidR="00581592" w:rsidRPr="00FF1394" w:rsidRDefault="00581592" w:rsidP="00581592">
      <w:pPr>
        <w:jc w:val="center"/>
        <w:rPr>
          <w:sz w:val="22"/>
          <w:szCs w:val="22"/>
        </w:rPr>
      </w:pPr>
      <w:r w:rsidRPr="00FF1394">
        <w:rPr>
          <w:sz w:val="22"/>
          <w:szCs w:val="22"/>
        </w:rPr>
        <w:t>Čl. V.</w:t>
      </w:r>
    </w:p>
    <w:p w:rsidR="00581592" w:rsidRPr="00FF1394" w:rsidRDefault="00581592" w:rsidP="00581592">
      <w:pPr>
        <w:jc w:val="center"/>
        <w:rPr>
          <w:b/>
          <w:sz w:val="22"/>
          <w:szCs w:val="22"/>
        </w:rPr>
      </w:pPr>
      <w:r w:rsidRPr="00FF1394">
        <w:rPr>
          <w:b/>
          <w:sz w:val="22"/>
          <w:szCs w:val="22"/>
        </w:rPr>
        <w:t>Doba trvání</w:t>
      </w:r>
    </w:p>
    <w:p w:rsidR="00581592" w:rsidRPr="00FF1394" w:rsidRDefault="00581592" w:rsidP="00581592">
      <w:pPr>
        <w:jc w:val="center"/>
        <w:rPr>
          <w:b/>
          <w:sz w:val="22"/>
          <w:szCs w:val="22"/>
        </w:rPr>
      </w:pPr>
    </w:p>
    <w:p w:rsidR="00581592" w:rsidRPr="00FF1394" w:rsidRDefault="00581592" w:rsidP="000C6577">
      <w:pPr>
        <w:pStyle w:val="odrkyslovan"/>
        <w:numPr>
          <w:ilvl w:val="0"/>
          <w:numId w:val="0"/>
        </w:numPr>
        <w:rPr>
          <w:sz w:val="22"/>
          <w:szCs w:val="22"/>
        </w:rPr>
      </w:pPr>
      <w:r w:rsidRPr="00FF1394">
        <w:rPr>
          <w:sz w:val="22"/>
          <w:szCs w:val="22"/>
        </w:rPr>
        <w:lastRenderedPageBreak/>
        <w:t>Tato smlouva se uzavírá na dobu určitou, a to na dobu posuzování a provádění klinického ho</w:t>
      </w:r>
      <w:r w:rsidR="00D6325F" w:rsidRPr="00FF1394">
        <w:rPr>
          <w:sz w:val="22"/>
          <w:szCs w:val="22"/>
        </w:rPr>
        <w:t>dnocení uvedeného v čl. II</w:t>
      </w:r>
      <w:r w:rsidRPr="00FF1394">
        <w:rPr>
          <w:sz w:val="22"/>
          <w:szCs w:val="22"/>
        </w:rPr>
        <w:t xml:space="preserve"> </w:t>
      </w:r>
      <w:proofErr w:type="gramStart"/>
      <w:r w:rsidR="00F6514A" w:rsidRPr="00FF1394">
        <w:rPr>
          <w:sz w:val="22"/>
          <w:szCs w:val="22"/>
        </w:rPr>
        <w:t>t</w:t>
      </w:r>
      <w:r w:rsidRPr="00FF1394">
        <w:rPr>
          <w:sz w:val="22"/>
          <w:szCs w:val="22"/>
        </w:rPr>
        <w:t>éto</w:t>
      </w:r>
      <w:proofErr w:type="gramEnd"/>
      <w:r w:rsidRPr="00FF1394">
        <w:rPr>
          <w:sz w:val="22"/>
          <w:szCs w:val="22"/>
        </w:rPr>
        <w:t xml:space="preserve"> smlouvy u poskytovatele zdravotních služeb</w:t>
      </w:r>
      <w:r w:rsidR="009D2CE1" w:rsidRPr="00FF1394">
        <w:rPr>
          <w:sz w:val="22"/>
          <w:szCs w:val="22"/>
        </w:rPr>
        <w:t>, nejvýše však na dobu, po kterou se klinické hodnocení bude v souladu s čl. 98 odst. 2 Nařízení EU řídit směrnicí 2001/20/ES</w:t>
      </w:r>
      <w:r w:rsidRPr="00FF1394">
        <w:rPr>
          <w:sz w:val="22"/>
          <w:szCs w:val="22"/>
        </w:rPr>
        <w:t xml:space="preserve">. Předpokládaná doba trvání předmětného klinického hodnocení je </w:t>
      </w:r>
      <w:r w:rsidRPr="00FF1394">
        <w:rPr>
          <w:sz w:val="22"/>
          <w:szCs w:val="22"/>
          <w:highlight w:val="yellow"/>
        </w:rPr>
        <w:t>…</w:t>
      </w:r>
      <w:proofErr w:type="gramStart"/>
      <w:r w:rsidRPr="00FF1394">
        <w:rPr>
          <w:sz w:val="22"/>
          <w:szCs w:val="22"/>
          <w:highlight w:val="yellow"/>
        </w:rPr>
        <w:t>…..</w:t>
      </w:r>
      <w:r w:rsidR="000C20AD" w:rsidRPr="00FF1394">
        <w:rPr>
          <w:sz w:val="22"/>
          <w:szCs w:val="22"/>
        </w:rPr>
        <w:t xml:space="preserve"> </w:t>
      </w:r>
      <w:r w:rsidRPr="00FF1394">
        <w:rPr>
          <w:sz w:val="22"/>
          <w:szCs w:val="22"/>
          <w:highlight w:val="yellow"/>
        </w:rPr>
        <w:t>let/roky</w:t>
      </w:r>
      <w:proofErr w:type="gramEnd"/>
      <w:r w:rsidRPr="00FF1394">
        <w:rPr>
          <w:sz w:val="22"/>
          <w:szCs w:val="22"/>
        </w:rPr>
        <w:t xml:space="preserve">. </w:t>
      </w:r>
    </w:p>
    <w:p w:rsidR="00E11262" w:rsidRPr="00FF1394" w:rsidRDefault="00E56265" w:rsidP="00E11262">
      <w:pPr>
        <w:jc w:val="center"/>
        <w:rPr>
          <w:sz w:val="22"/>
          <w:szCs w:val="22"/>
        </w:rPr>
      </w:pPr>
      <w:r w:rsidRPr="00FF1394">
        <w:rPr>
          <w:sz w:val="22"/>
          <w:szCs w:val="22"/>
        </w:rPr>
        <w:t>Čl. V</w:t>
      </w:r>
      <w:r w:rsidR="00581592" w:rsidRPr="00FF1394">
        <w:rPr>
          <w:sz w:val="22"/>
          <w:szCs w:val="22"/>
        </w:rPr>
        <w:t>I</w:t>
      </w:r>
      <w:r w:rsidRPr="00FF1394">
        <w:rPr>
          <w:sz w:val="22"/>
          <w:szCs w:val="22"/>
        </w:rPr>
        <w:t>.</w:t>
      </w:r>
    </w:p>
    <w:p w:rsidR="00E11262" w:rsidRPr="00FF1394" w:rsidRDefault="00E11262" w:rsidP="00E11262">
      <w:pPr>
        <w:jc w:val="center"/>
        <w:rPr>
          <w:sz w:val="22"/>
          <w:szCs w:val="22"/>
        </w:rPr>
      </w:pPr>
      <w:r w:rsidRPr="00FF1394">
        <w:rPr>
          <w:b/>
          <w:sz w:val="22"/>
          <w:szCs w:val="22"/>
        </w:rPr>
        <w:t>Závěrečná ujednání</w:t>
      </w:r>
    </w:p>
    <w:p w:rsidR="00E11262" w:rsidRPr="00FF1394" w:rsidRDefault="00E11262" w:rsidP="00E11262">
      <w:pPr>
        <w:jc w:val="center"/>
        <w:rPr>
          <w:sz w:val="22"/>
          <w:szCs w:val="22"/>
        </w:rPr>
      </w:pPr>
    </w:p>
    <w:p w:rsidR="00681563" w:rsidRPr="00FF1394" w:rsidRDefault="00581592" w:rsidP="00581592">
      <w:pPr>
        <w:pStyle w:val="odrkyslovan"/>
        <w:numPr>
          <w:ilvl w:val="0"/>
          <w:numId w:val="0"/>
        </w:numPr>
        <w:ind w:left="426" w:hanging="360"/>
        <w:rPr>
          <w:sz w:val="22"/>
          <w:szCs w:val="22"/>
        </w:rPr>
      </w:pPr>
      <w:r w:rsidRPr="00FF1394">
        <w:rPr>
          <w:sz w:val="22"/>
          <w:szCs w:val="22"/>
        </w:rPr>
        <w:t>1.</w:t>
      </w:r>
      <w:r w:rsidRPr="00FF1394">
        <w:rPr>
          <w:sz w:val="22"/>
          <w:szCs w:val="22"/>
        </w:rPr>
        <w:tab/>
      </w:r>
      <w:r w:rsidR="00681563" w:rsidRPr="00FF1394">
        <w:rPr>
          <w:sz w:val="22"/>
          <w:szCs w:val="22"/>
        </w:rPr>
        <w:t xml:space="preserve">Smluvní vztah lze ukončit dohodou smluvních stran, nebo </w:t>
      </w:r>
      <w:r w:rsidR="006338C0" w:rsidRPr="00FF1394">
        <w:rPr>
          <w:sz w:val="22"/>
          <w:szCs w:val="22"/>
        </w:rPr>
        <w:t xml:space="preserve">výpovědí jedné </w:t>
      </w:r>
      <w:r w:rsidR="00263A87" w:rsidRPr="00FF1394">
        <w:rPr>
          <w:sz w:val="22"/>
          <w:szCs w:val="22"/>
        </w:rPr>
        <w:t>z</w:t>
      </w:r>
      <w:r w:rsidR="00F6514A" w:rsidRPr="00FF1394">
        <w:rPr>
          <w:sz w:val="22"/>
          <w:szCs w:val="22"/>
        </w:rPr>
        <w:t> </w:t>
      </w:r>
      <w:r w:rsidR="00D12F5E" w:rsidRPr="00FF1394">
        <w:rPr>
          <w:sz w:val="22"/>
          <w:szCs w:val="22"/>
        </w:rPr>
        <w:t>nich</w:t>
      </w:r>
      <w:r w:rsidR="00F6514A" w:rsidRPr="00FF1394">
        <w:rPr>
          <w:sz w:val="22"/>
          <w:szCs w:val="22"/>
        </w:rPr>
        <w:t xml:space="preserve"> kdykoli bez uvedení důvodu</w:t>
      </w:r>
      <w:r w:rsidR="00263A87" w:rsidRPr="00FF1394">
        <w:rPr>
          <w:sz w:val="22"/>
          <w:szCs w:val="22"/>
        </w:rPr>
        <w:t xml:space="preserve">. Výpovědní </w:t>
      </w:r>
      <w:r w:rsidR="00E445E9">
        <w:rPr>
          <w:sz w:val="22"/>
          <w:szCs w:val="22"/>
        </w:rPr>
        <w:t>doba</w:t>
      </w:r>
      <w:r w:rsidR="00E445E9" w:rsidRPr="00FF1394">
        <w:rPr>
          <w:sz w:val="22"/>
          <w:szCs w:val="22"/>
        </w:rPr>
        <w:t xml:space="preserve"> </w:t>
      </w:r>
      <w:r w:rsidR="00263A87" w:rsidRPr="00FF1394">
        <w:rPr>
          <w:sz w:val="22"/>
          <w:szCs w:val="22"/>
        </w:rPr>
        <w:t>činí 30 dnů a počíná běžet den</w:t>
      </w:r>
      <w:r w:rsidR="00D77D8A" w:rsidRPr="00FF1394">
        <w:rPr>
          <w:sz w:val="22"/>
          <w:szCs w:val="22"/>
        </w:rPr>
        <w:t xml:space="preserve"> následující po dni, ve kterém b</w:t>
      </w:r>
      <w:r w:rsidR="00263A87" w:rsidRPr="00FF1394">
        <w:rPr>
          <w:sz w:val="22"/>
          <w:szCs w:val="22"/>
        </w:rPr>
        <w:t xml:space="preserve">yla výpověď doručena smluvní straně. </w:t>
      </w:r>
    </w:p>
    <w:p w:rsidR="00263A87" w:rsidRPr="00FF1394" w:rsidRDefault="00581592" w:rsidP="00581592">
      <w:pPr>
        <w:pStyle w:val="odrkyslovan"/>
        <w:numPr>
          <w:ilvl w:val="0"/>
          <w:numId w:val="0"/>
        </w:numPr>
        <w:ind w:left="426" w:hanging="360"/>
        <w:rPr>
          <w:sz w:val="22"/>
          <w:szCs w:val="22"/>
        </w:rPr>
      </w:pPr>
      <w:r w:rsidRPr="00FF1394">
        <w:rPr>
          <w:sz w:val="22"/>
          <w:szCs w:val="22"/>
        </w:rPr>
        <w:t>2.</w:t>
      </w:r>
      <w:r w:rsidRPr="00FF1394">
        <w:rPr>
          <w:sz w:val="22"/>
          <w:szCs w:val="22"/>
        </w:rPr>
        <w:tab/>
      </w:r>
      <w:r w:rsidR="00263A87" w:rsidRPr="00FF1394">
        <w:rPr>
          <w:sz w:val="22"/>
          <w:szCs w:val="22"/>
        </w:rPr>
        <w:t>Tuto smlouvu lze změ</w:t>
      </w:r>
      <w:r w:rsidR="00AD3125" w:rsidRPr="00FF1394">
        <w:rPr>
          <w:sz w:val="22"/>
          <w:szCs w:val="22"/>
        </w:rPr>
        <w:t>n</w:t>
      </w:r>
      <w:r w:rsidR="00263A87" w:rsidRPr="00FF1394">
        <w:rPr>
          <w:sz w:val="22"/>
          <w:szCs w:val="22"/>
        </w:rPr>
        <w:t xml:space="preserve">it nebo doplnit jen výslovným písemným ujednáním, jež podepíší oprávnění zástupci </w:t>
      </w:r>
      <w:r w:rsidR="00AD3125" w:rsidRPr="00FF1394">
        <w:rPr>
          <w:sz w:val="22"/>
          <w:szCs w:val="22"/>
        </w:rPr>
        <w:t>obou smluvních stran, přičemž taková změna nebo doplnění musí mít formu očíslovaného dodatku.</w:t>
      </w:r>
    </w:p>
    <w:p w:rsidR="00FF1394" w:rsidRPr="00FF1394" w:rsidRDefault="00581592" w:rsidP="00FF1394">
      <w:pPr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1394">
        <w:rPr>
          <w:sz w:val="22"/>
          <w:szCs w:val="22"/>
        </w:rPr>
        <w:t>3.</w:t>
      </w:r>
      <w:r w:rsidRPr="00FF1394">
        <w:rPr>
          <w:sz w:val="22"/>
          <w:szCs w:val="22"/>
        </w:rPr>
        <w:tab/>
      </w:r>
      <w:r w:rsidR="00681563" w:rsidRPr="00FF1394">
        <w:rPr>
          <w:sz w:val="22"/>
          <w:szCs w:val="22"/>
        </w:rPr>
        <w:t xml:space="preserve">Tato </w:t>
      </w:r>
      <w:r w:rsidR="00263A87" w:rsidRPr="00FF1394">
        <w:rPr>
          <w:sz w:val="22"/>
          <w:szCs w:val="22"/>
        </w:rPr>
        <w:t>smlouva</w:t>
      </w:r>
      <w:r w:rsidR="00681563" w:rsidRPr="00FF1394">
        <w:rPr>
          <w:sz w:val="22"/>
          <w:szCs w:val="22"/>
        </w:rPr>
        <w:t xml:space="preserve"> je vyhotovena ve 2 stejnopisech </w:t>
      </w:r>
      <w:r w:rsidR="00263A87" w:rsidRPr="00FF1394">
        <w:rPr>
          <w:sz w:val="22"/>
          <w:szCs w:val="22"/>
        </w:rPr>
        <w:t xml:space="preserve">s platností </w:t>
      </w:r>
      <w:r w:rsidR="00AD3125" w:rsidRPr="00FF1394">
        <w:rPr>
          <w:sz w:val="22"/>
          <w:szCs w:val="22"/>
        </w:rPr>
        <w:t>originálu, přičemž ka</w:t>
      </w:r>
      <w:r w:rsidR="00263A87" w:rsidRPr="00FF1394">
        <w:rPr>
          <w:sz w:val="22"/>
          <w:szCs w:val="22"/>
        </w:rPr>
        <w:t>ždá ze smluvních stran obdrží</w:t>
      </w:r>
      <w:r w:rsidR="00681563" w:rsidRPr="00FF1394">
        <w:rPr>
          <w:sz w:val="22"/>
          <w:szCs w:val="22"/>
        </w:rPr>
        <w:t xml:space="preserve"> po jednom </w:t>
      </w:r>
      <w:r w:rsidR="00263A87" w:rsidRPr="00FF1394">
        <w:rPr>
          <w:sz w:val="22"/>
          <w:szCs w:val="22"/>
        </w:rPr>
        <w:t>vyhotovení.</w:t>
      </w:r>
      <w:r w:rsidR="00681563" w:rsidRPr="00FF1394">
        <w:rPr>
          <w:sz w:val="22"/>
          <w:szCs w:val="22"/>
        </w:rPr>
        <w:t xml:space="preserve"> </w:t>
      </w:r>
      <w:r w:rsidR="00FF1394" w:rsidRPr="00FF1394">
        <w:rPr>
          <w:rFonts w:eastAsia="Calibri"/>
          <w:color w:val="000000"/>
          <w:sz w:val="22"/>
          <w:szCs w:val="22"/>
          <w:lang w:eastAsia="en-US"/>
        </w:rPr>
        <w:t xml:space="preserve">To neplatí v případě, že tato smlouva byla podepsána elektronickým podpisem dle zákona č. 297/2016 Sb., o službách vytvářejících důvěru pro elektronické transakce, ve znění pozdějších předpisů. </w:t>
      </w:r>
    </w:p>
    <w:p w:rsidR="00FF1394" w:rsidRPr="00FF1394" w:rsidRDefault="00FF1394" w:rsidP="00FF1394">
      <w:pPr>
        <w:jc w:val="both"/>
        <w:rPr>
          <w:sz w:val="22"/>
          <w:szCs w:val="22"/>
        </w:rPr>
      </w:pPr>
    </w:p>
    <w:p w:rsidR="00391FAE" w:rsidRPr="00FF1394" w:rsidRDefault="00375967" w:rsidP="00375967">
      <w:pPr>
        <w:pStyle w:val="odrkyslovan"/>
        <w:numPr>
          <w:ilvl w:val="0"/>
          <w:numId w:val="0"/>
        </w:numPr>
        <w:ind w:left="426" w:hanging="360"/>
        <w:rPr>
          <w:sz w:val="22"/>
          <w:szCs w:val="22"/>
        </w:rPr>
      </w:pPr>
      <w:r w:rsidRPr="00FF1394">
        <w:rPr>
          <w:sz w:val="22"/>
          <w:szCs w:val="22"/>
        </w:rPr>
        <w:t xml:space="preserve">4.  </w:t>
      </w:r>
      <w:r w:rsidR="00391FAE" w:rsidRPr="00FF1394">
        <w:rPr>
          <w:sz w:val="22"/>
          <w:szCs w:val="22"/>
        </w:rPr>
        <w:t xml:space="preserve">Druhá smluvní strana bere na vědomí, že </w:t>
      </w:r>
      <w:r w:rsidR="00F6514A" w:rsidRPr="00FF1394">
        <w:rPr>
          <w:sz w:val="22"/>
          <w:szCs w:val="22"/>
        </w:rPr>
        <w:t>FN Motol</w:t>
      </w:r>
      <w:r w:rsidR="00391FAE" w:rsidRPr="00FF1394">
        <w:rPr>
          <w:sz w:val="22"/>
          <w:szCs w:val="22"/>
        </w:rPr>
        <w:t xml:space="preserve"> jakožto státní příspěvková organizace, je povinna na dotaz třetí osoby poskytnout informace podle zákona č. 106/1999 Sb., o svobodném přístupu k informacím, ve znění pozdějších předpisů. </w:t>
      </w:r>
    </w:p>
    <w:p w:rsidR="00581592" w:rsidRPr="00FF1394" w:rsidRDefault="00581592" w:rsidP="00375967">
      <w:pPr>
        <w:pStyle w:val="odrkyslovan"/>
        <w:numPr>
          <w:ilvl w:val="0"/>
          <w:numId w:val="19"/>
        </w:numPr>
        <w:rPr>
          <w:sz w:val="22"/>
          <w:szCs w:val="22"/>
        </w:rPr>
      </w:pPr>
      <w:r w:rsidRPr="00FF1394">
        <w:rPr>
          <w:sz w:val="22"/>
          <w:szCs w:val="22"/>
        </w:rPr>
        <w:t>Závazky z této smlouvy</w:t>
      </w:r>
      <w:r w:rsidR="00D6325F" w:rsidRPr="00FF1394">
        <w:rPr>
          <w:sz w:val="22"/>
          <w:szCs w:val="22"/>
        </w:rPr>
        <w:t>, jakožto i právní vztahy touto smlouvou neupravené,</w:t>
      </w:r>
      <w:r w:rsidRPr="00FF1394">
        <w:rPr>
          <w:sz w:val="22"/>
          <w:szCs w:val="22"/>
        </w:rPr>
        <w:t xml:space="preserve"> se řídí právem České republiky.</w:t>
      </w:r>
    </w:p>
    <w:p w:rsidR="00581592" w:rsidRPr="00FF1394" w:rsidRDefault="00581592" w:rsidP="00375967">
      <w:pPr>
        <w:pStyle w:val="odrkyslovan"/>
        <w:numPr>
          <w:ilvl w:val="0"/>
          <w:numId w:val="19"/>
        </w:numPr>
        <w:rPr>
          <w:sz w:val="22"/>
          <w:szCs w:val="22"/>
        </w:rPr>
      </w:pPr>
      <w:r w:rsidRPr="00FF1394">
        <w:rPr>
          <w:sz w:val="22"/>
          <w:szCs w:val="22"/>
        </w:rPr>
        <w:t>Platnost a účinnost smlouvy nastává dnem podpisu obou smluvních stran. Smluvní strany smlouvy prohlašují, že si smlouvu před jejím podpisem přečetly, že byla uzavřena podle jejich pravé a svobodné vůle, určitě, vážně a srozumitelně a její autentičnost stvrzují svými podpisy.</w:t>
      </w:r>
    </w:p>
    <w:p w:rsidR="00681563" w:rsidRPr="00FF1394" w:rsidRDefault="00681563" w:rsidP="00681563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794"/>
        <w:gridCol w:w="1701"/>
        <w:gridCol w:w="3717"/>
      </w:tblGrid>
      <w:tr w:rsidR="00681563" w:rsidRPr="00FF1394" w:rsidTr="00103954">
        <w:trPr>
          <w:trHeight w:val="384"/>
        </w:trPr>
        <w:tc>
          <w:tcPr>
            <w:tcW w:w="3794" w:type="dxa"/>
            <w:shd w:val="clear" w:color="auto" w:fill="auto"/>
            <w:vAlign w:val="bottom"/>
          </w:tcPr>
          <w:p w:rsidR="00681563" w:rsidRPr="00FF1394" w:rsidRDefault="00FE6CDC" w:rsidP="00103954">
            <w:pPr>
              <w:tabs>
                <w:tab w:val="left" w:leader="dot" w:pos="3402"/>
              </w:tabs>
              <w:rPr>
                <w:sz w:val="22"/>
                <w:szCs w:val="22"/>
              </w:rPr>
            </w:pPr>
            <w:r w:rsidRPr="00FF1394">
              <w:rPr>
                <w:sz w:val="22"/>
                <w:szCs w:val="22"/>
              </w:rPr>
              <w:t>V </w:t>
            </w:r>
            <w:r w:rsidR="00103954" w:rsidRPr="00FF1394">
              <w:rPr>
                <w:sz w:val="22"/>
                <w:szCs w:val="22"/>
              </w:rPr>
              <w:t>Praze</w:t>
            </w:r>
            <w:r w:rsidR="00681563" w:rsidRPr="00FF1394">
              <w:rPr>
                <w:sz w:val="22"/>
                <w:szCs w:val="22"/>
              </w:rPr>
              <w:t xml:space="preserve"> dne: </w:t>
            </w:r>
            <w:r w:rsidR="00681563" w:rsidRPr="00FF1394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1563" w:rsidRPr="00FF1394" w:rsidRDefault="00681563" w:rsidP="00812A78">
            <w:pPr>
              <w:tabs>
                <w:tab w:val="left" w:leader="dot" w:pos="3402"/>
              </w:tabs>
              <w:rPr>
                <w:sz w:val="22"/>
                <w:szCs w:val="22"/>
              </w:rPr>
            </w:pPr>
          </w:p>
        </w:tc>
        <w:tc>
          <w:tcPr>
            <w:tcW w:w="3717" w:type="dxa"/>
            <w:shd w:val="clear" w:color="auto" w:fill="auto"/>
            <w:vAlign w:val="bottom"/>
          </w:tcPr>
          <w:p w:rsidR="00681563" w:rsidRPr="00FF1394" w:rsidRDefault="00681563" w:rsidP="00812A78">
            <w:pPr>
              <w:tabs>
                <w:tab w:val="left" w:leader="dot" w:pos="3402"/>
              </w:tabs>
              <w:rPr>
                <w:sz w:val="22"/>
                <w:szCs w:val="22"/>
              </w:rPr>
            </w:pPr>
            <w:r w:rsidRPr="00FF1394">
              <w:rPr>
                <w:sz w:val="22"/>
                <w:szCs w:val="22"/>
              </w:rPr>
              <w:t xml:space="preserve">V Praze dne: </w:t>
            </w:r>
            <w:r w:rsidRPr="00FF1394">
              <w:rPr>
                <w:sz w:val="22"/>
                <w:szCs w:val="22"/>
              </w:rPr>
              <w:tab/>
            </w:r>
          </w:p>
        </w:tc>
      </w:tr>
      <w:tr w:rsidR="00681563" w:rsidRPr="00FF1394" w:rsidTr="00812A78">
        <w:tc>
          <w:tcPr>
            <w:tcW w:w="3794" w:type="dxa"/>
            <w:shd w:val="clear" w:color="auto" w:fill="auto"/>
          </w:tcPr>
          <w:p w:rsidR="00681563" w:rsidRPr="00FF1394" w:rsidRDefault="00423584" w:rsidP="00812A78">
            <w:pPr>
              <w:jc w:val="center"/>
              <w:rPr>
                <w:sz w:val="22"/>
                <w:szCs w:val="22"/>
              </w:rPr>
            </w:pPr>
            <w:r w:rsidRPr="00FF1394">
              <w:rPr>
                <w:sz w:val="22"/>
                <w:szCs w:val="22"/>
              </w:rPr>
              <w:t>poskytovatel zdravotních služeb</w:t>
            </w:r>
          </w:p>
          <w:p w:rsidR="00CB288F" w:rsidRPr="00FF1394" w:rsidRDefault="00CB288F" w:rsidP="00D6325F">
            <w:pPr>
              <w:jc w:val="center"/>
              <w:rPr>
                <w:sz w:val="22"/>
                <w:szCs w:val="22"/>
              </w:rPr>
            </w:pPr>
            <w:r w:rsidRPr="00FF1394">
              <w:rPr>
                <w:sz w:val="22"/>
                <w:szCs w:val="22"/>
                <w:highlight w:val="yellow"/>
              </w:rPr>
              <w:t xml:space="preserve">+ jméno a podpis </w:t>
            </w:r>
            <w:r w:rsidR="00D6325F" w:rsidRPr="00FF1394">
              <w:rPr>
                <w:sz w:val="22"/>
                <w:szCs w:val="22"/>
                <w:highlight w:val="yellow"/>
              </w:rPr>
              <w:t>zastupujícího</w:t>
            </w:r>
          </w:p>
        </w:tc>
        <w:tc>
          <w:tcPr>
            <w:tcW w:w="1701" w:type="dxa"/>
            <w:shd w:val="clear" w:color="auto" w:fill="auto"/>
          </w:tcPr>
          <w:p w:rsidR="00681563" w:rsidRPr="00FF1394" w:rsidRDefault="00681563" w:rsidP="00812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7" w:type="dxa"/>
            <w:shd w:val="clear" w:color="auto" w:fill="auto"/>
          </w:tcPr>
          <w:p w:rsidR="008D0BB7" w:rsidRPr="00FF1394" w:rsidRDefault="008D0BB7" w:rsidP="008D0BB7">
            <w:pPr>
              <w:jc w:val="center"/>
              <w:rPr>
                <w:sz w:val="22"/>
                <w:szCs w:val="22"/>
              </w:rPr>
            </w:pPr>
            <w:r w:rsidRPr="00FF1394">
              <w:rPr>
                <w:sz w:val="22"/>
                <w:szCs w:val="22"/>
              </w:rPr>
              <w:t>JUDr. Ing. Miloslav Ludvík, MBA, ředitel</w:t>
            </w:r>
            <w:r w:rsidRPr="00FF1394">
              <w:rPr>
                <w:sz w:val="22"/>
                <w:szCs w:val="22"/>
              </w:rPr>
              <w:br/>
              <w:t>Fakultní nemocnice v Motole</w:t>
            </w:r>
          </w:p>
          <w:p w:rsidR="00CB288F" w:rsidRPr="00FF1394" w:rsidRDefault="00CB288F" w:rsidP="00812A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1563" w:rsidRDefault="00681563" w:rsidP="00681563"/>
    <w:p w:rsidR="007E495B" w:rsidRDefault="007E495B" w:rsidP="00FE6CDC">
      <w:pPr>
        <w:pStyle w:val="Nadpis1"/>
        <w:jc w:val="left"/>
      </w:pPr>
    </w:p>
    <w:sectPr w:rsidR="007E495B" w:rsidSect="00134849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2B" w:rsidRDefault="00AF3E2B">
      <w:r>
        <w:separator/>
      </w:r>
    </w:p>
  </w:endnote>
  <w:endnote w:type="continuationSeparator" w:id="0">
    <w:p w:rsidR="00AF3E2B" w:rsidRDefault="00AF3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545012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AF3E2B" w:rsidRPr="00CC4B17" w:rsidRDefault="00AF3E2B" w:rsidP="00CC4B17">
            <w:pPr>
              <w:pStyle w:val="Zpat"/>
              <w:rPr>
                <w:sz w:val="18"/>
                <w:szCs w:val="18"/>
              </w:rPr>
            </w:pPr>
            <w:r w:rsidRPr="00CC4B17">
              <w:rPr>
                <w:sz w:val="18"/>
                <w:szCs w:val="18"/>
              </w:rPr>
              <w:t xml:space="preserve">Smlouva o spolupráci (pro jednorázové posouzení klinického hodnocení) </w:t>
            </w:r>
          </w:p>
          <w:p w:rsidR="00AF3E2B" w:rsidRDefault="00AF3E2B">
            <w:pPr>
              <w:pStyle w:val="Zpat"/>
              <w:jc w:val="center"/>
            </w:pPr>
          </w:p>
          <w:p w:rsidR="00AF3E2B" w:rsidRDefault="00AF3E2B">
            <w:pPr>
              <w:pStyle w:val="Zpat"/>
              <w:jc w:val="center"/>
            </w:pPr>
            <w:r>
              <w:t xml:space="preserve">Stránka </w:t>
            </w:r>
            <w:r w:rsidR="0036489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4896">
              <w:rPr>
                <w:b/>
                <w:szCs w:val="24"/>
              </w:rPr>
              <w:fldChar w:fldCharType="separate"/>
            </w:r>
            <w:r w:rsidR="002551C0">
              <w:rPr>
                <w:b/>
                <w:noProof/>
              </w:rPr>
              <w:t>1</w:t>
            </w:r>
            <w:r w:rsidR="00364896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36489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4896">
              <w:rPr>
                <w:b/>
                <w:szCs w:val="24"/>
              </w:rPr>
              <w:fldChar w:fldCharType="separate"/>
            </w:r>
            <w:r w:rsidR="002551C0">
              <w:rPr>
                <w:b/>
                <w:noProof/>
              </w:rPr>
              <w:t>3</w:t>
            </w:r>
            <w:r w:rsidR="0036489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AF3E2B" w:rsidRDefault="00AF3E2B" w:rsidP="00CC4B17">
    <w:pPr>
      <w:pStyle w:val="Zpat"/>
      <w:tabs>
        <w:tab w:val="clear" w:pos="4536"/>
        <w:tab w:val="clear" w:pos="9072"/>
        <w:tab w:val="left" w:pos="2830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2B" w:rsidRDefault="00AF3E2B">
      <w:r>
        <w:separator/>
      </w:r>
    </w:p>
  </w:footnote>
  <w:footnote w:type="continuationSeparator" w:id="0">
    <w:p w:rsidR="00AF3E2B" w:rsidRDefault="00AF3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3BB"/>
    <w:multiLevelType w:val="hybridMultilevel"/>
    <w:tmpl w:val="1312F26E"/>
    <w:lvl w:ilvl="0" w:tplc="988001CA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2D637A79"/>
    <w:multiLevelType w:val="hybridMultilevel"/>
    <w:tmpl w:val="742EAAF6"/>
    <w:lvl w:ilvl="0" w:tplc="4BA43B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E2CE6"/>
    <w:multiLevelType w:val="singleLevel"/>
    <w:tmpl w:val="4776104E"/>
    <w:lvl w:ilvl="0">
      <w:start w:val="1"/>
      <w:numFmt w:val="decimal"/>
      <w:lvlText w:val="%1)"/>
      <w:lvlJc w:val="left"/>
      <w:pPr>
        <w:tabs>
          <w:tab w:val="num" w:pos="3540"/>
        </w:tabs>
        <w:ind w:left="3540" w:hanging="3180"/>
      </w:pPr>
      <w:rPr>
        <w:rFonts w:hint="default"/>
      </w:rPr>
    </w:lvl>
  </w:abstractNum>
  <w:abstractNum w:abstractNumId="3">
    <w:nsid w:val="316A6AD1"/>
    <w:multiLevelType w:val="hybridMultilevel"/>
    <w:tmpl w:val="8E92FDBC"/>
    <w:lvl w:ilvl="0" w:tplc="B9767B56">
      <w:start w:val="1"/>
      <w:numFmt w:val="decimal"/>
      <w:pStyle w:val="odrkyslov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B536B"/>
    <w:multiLevelType w:val="hybridMultilevel"/>
    <w:tmpl w:val="A4DE542E"/>
    <w:lvl w:ilvl="0" w:tplc="3732F1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524E1"/>
    <w:multiLevelType w:val="hybridMultilevel"/>
    <w:tmpl w:val="60809B92"/>
    <w:lvl w:ilvl="0" w:tplc="0B7CFE1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5F5A52B8"/>
    <w:multiLevelType w:val="hybridMultilevel"/>
    <w:tmpl w:val="86A86B48"/>
    <w:lvl w:ilvl="0" w:tplc="27FAF228">
      <w:start w:val="1"/>
      <w:numFmt w:val="upperRoman"/>
      <w:pStyle w:val="Nadpis2"/>
      <w:lvlText w:val="Čl. %1.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503A8"/>
    <w:multiLevelType w:val="hybridMultilevel"/>
    <w:tmpl w:val="990289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1143C"/>
    <w:multiLevelType w:val="hybridMultilevel"/>
    <w:tmpl w:val="73502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84F8A"/>
    <w:multiLevelType w:val="hybridMultilevel"/>
    <w:tmpl w:val="37762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9135C"/>
    <w:multiLevelType w:val="singleLevel"/>
    <w:tmpl w:val="DB4A691E"/>
    <w:lvl w:ilvl="0">
      <w:start w:val="2"/>
      <w:numFmt w:val="bullet"/>
      <w:lvlText w:val="-"/>
      <w:lvlJc w:val="left"/>
      <w:pPr>
        <w:tabs>
          <w:tab w:val="num" w:pos="1806"/>
        </w:tabs>
        <w:ind w:left="1806" w:hanging="39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90608"/>
    <w:rsid w:val="000202BC"/>
    <w:rsid w:val="00043ACC"/>
    <w:rsid w:val="0006434A"/>
    <w:rsid w:val="00066B20"/>
    <w:rsid w:val="00071A60"/>
    <w:rsid w:val="000A000C"/>
    <w:rsid w:val="000A344F"/>
    <w:rsid w:val="000C20AD"/>
    <w:rsid w:val="000C6577"/>
    <w:rsid w:val="000D6659"/>
    <w:rsid w:val="000E0A06"/>
    <w:rsid w:val="00103954"/>
    <w:rsid w:val="00120F8D"/>
    <w:rsid w:val="001312A7"/>
    <w:rsid w:val="00134849"/>
    <w:rsid w:val="001502D5"/>
    <w:rsid w:val="00163802"/>
    <w:rsid w:val="00183384"/>
    <w:rsid w:val="00193E45"/>
    <w:rsid w:val="001A4C6E"/>
    <w:rsid w:val="001C2E96"/>
    <w:rsid w:val="001C75D1"/>
    <w:rsid w:val="00203826"/>
    <w:rsid w:val="00204233"/>
    <w:rsid w:val="00206226"/>
    <w:rsid w:val="0021353F"/>
    <w:rsid w:val="00251C60"/>
    <w:rsid w:val="002551C0"/>
    <w:rsid w:val="00263A87"/>
    <w:rsid w:val="002A0862"/>
    <w:rsid w:val="002E1052"/>
    <w:rsid w:val="002E1234"/>
    <w:rsid w:val="002F5AFF"/>
    <w:rsid w:val="00301C8A"/>
    <w:rsid w:val="003033B9"/>
    <w:rsid w:val="0030477F"/>
    <w:rsid w:val="0030731F"/>
    <w:rsid w:val="003106C1"/>
    <w:rsid w:val="0033080D"/>
    <w:rsid w:val="00331974"/>
    <w:rsid w:val="0034100B"/>
    <w:rsid w:val="00342FE1"/>
    <w:rsid w:val="00364896"/>
    <w:rsid w:val="00375967"/>
    <w:rsid w:val="00391FAE"/>
    <w:rsid w:val="003B16BA"/>
    <w:rsid w:val="003B7EAB"/>
    <w:rsid w:val="003E7A5F"/>
    <w:rsid w:val="003E7C3A"/>
    <w:rsid w:val="004230C4"/>
    <w:rsid w:val="00423584"/>
    <w:rsid w:val="00434C06"/>
    <w:rsid w:val="00445497"/>
    <w:rsid w:val="004513EA"/>
    <w:rsid w:val="00477733"/>
    <w:rsid w:val="00487C62"/>
    <w:rsid w:val="004972C7"/>
    <w:rsid w:val="004A7A6B"/>
    <w:rsid w:val="004C085F"/>
    <w:rsid w:val="00502723"/>
    <w:rsid w:val="00511408"/>
    <w:rsid w:val="005311C9"/>
    <w:rsid w:val="00532F1A"/>
    <w:rsid w:val="00554F13"/>
    <w:rsid w:val="005762D7"/>
    <w:rsid w:val="00581592"/>
    <w:rsid w:val="005F1037"/>
    <w:rsid w:val="00601274"/>
    <w:rsid w:val="00606720"/>
    <w:rsid w:val="006338C0"/>
    <w:rsid w:val="00670C74"/>
    <w:rsid w:val="00681563"/>
    <w:rsid w:val="006B74F9"/>
    <w:rsid w:val="006C239A"/>
    <w:rsid w:val="006C3B62"/>
    <w:rsid w:val="006D00AB"/>
    <w:rsid w:val="006E6116"/>
    <w:rsid w:val="006F3952"/>
    <w:rsid w:val="00716C6A"/>
    <w:rsid w:val="007763B6"/>
    <w:rsid w:val="007A44D1"/>
    <w:rsid w:val="007A7367"/>
    <w:rsid w:val="007E0BA0"/>
    <w:rsid w:val="007E3132"/>
    <w:rsid w:val="007E495B"/>
    <w:rsid w:val="00800121"/>
    <w:rsid w:val="00812A78"/>
    <w:rsid w:val="00824CAF"/>
    <w:rsid w:val="00853DB6"/>
    <w:rsid w:val="008616E8"/>
    <w:rsid w:val="00892535"/>
    <w:rsid w:val="00894B31"/>
    <w:rsid w:val="008C3001"/>
    <w:rsid w:val="008C706E"/>
    <w:rsid w:val="008D0BB7"/>
    <w:rsid w:val="008E5355"/>
    <w:rsid w:val="008F3F9F"/>
    <w:rsid w:val="008F5619"/>
    <w:rsid w:val="00906ACF"/>
    <w:rsid w:val="00906F8C"/>
    <w:rsid w:val="00921C99"/>
    <w:rsid w:val="0092527E"/>
    <w:rsid w:val="00954FA2"/>
    <w:rsid w:val="00962A76"/>
    <w:rsid w:val="009839A5"/>
    <w:rsid w:val="009C4E73"/>
    <w:rsid w:val="009C7D6E"/>
    <w:rsid w:val="009D06F2"/>
    <w:rsid w:val="009D2CE1"/>
    <w:rsid w:val="009D3499"/>
    <w:rsid w:val="009F433A"/>
    <w:rsid w:val="00A07F4C"/>
    <w:rsid w:val="00A316B3"/>
    <w:rsid w:val="00A40277"/>
    <w:rsid w:val="00A47DAB"/>
    <w:rsid w:val="00A548C1"/>
    <w:rsid w:val="00A82D28"/>
    <w:rsid w:val="00A83923"/>
    <w:rsid w:val="00A85E4E"/>
    <w:rsid w:val="00A86D58"/>
    <w:rsid w:val="00A96041"/>
    <w:rsid w:val="00AB17BF"/>
    <w:rsid w:val="00AB2022"/>
    <w:rsid w:val="00AD3125"/>
    <w:rsid w:val="00AF3E2B"/>
    <w:rsid w:val="00AF4CBC"/>
    <w:rsid w:val="00B20569"/>
    <w:rsid w:val="00B209A8"/>
    <w:rsid w:val="00B43FC2"/>
    <w:rsid w:val="00B70CFD"/>
    <w:rsid w:val="00B90608"/>
    <w:rsid w:val="00BB7E76"/>
    <w:rsid w:val="00BC5416"/>
    <w:rsid w:val="00BF4DB4"/>
    <w:rsid w:val="00C06EC2"/>
    <w:rsid w:val="00C10EA8"/>
    <w:rsid w:val="00C16B99"/>
    <w:rsid w:val="00C37EB3"/>
    <w:rsid w:val="00C72F8D"/>
    <w:rsid w:val="00C822B0"/>
    <w:rsid w:val="00C966B8"/>
    <w:rsid w:val="00CB288F"/>
    <w:rsid w:val="00CB5CF6"/>
    <w:rsid w:val="00CC4B17"/>
    <w:rsid w:val="00D066DA"/>
    <w:rsid w:val="00D125BD"/>
    <w:rsid w:val="00D12F5E"/>
    <w:rsid w:val="00D21113"/>
    <w:rsid w:val="00D27EE6"/>
    <w:rsid w:val="00D40BD4"/>
    <w:rsid w:val="00D62343"/>
    <w:rsid w:val="00D6325F"/>
    <w:rsid w:val="00D65739"/>
    <w:rsid w:val="00D77D8A"/>
    <w:rsid w:val="00D83E18"/>
    <w:rsid w:val="00D95246"/>
    <w:rsid w:val="00D9782C"/>
    <w:rsid w:val="00DB2BB8"/>
    <w:rsid w:val="00DC2E20"/>
    <w:rsid w:val="00DC4C06"/>
    <w:rsid w:val="00DE222F"/>
    <w:rsid w:val="00DF4EA1"/>
    <w:rsid w:val="00E03342"/>
    <w:rsid w:val="00E11262"/>
    <w:rsid w:val="00E15AD7"/>
    <w:rsid w:val="00E16DB6"/>
    <w:rsid w:val="00E445E9"/>
    <w:rsid w:val="00E56265"/>
    <w:rsid w:val="00E57F59"/>
    <w:rsid w:val="00E64B5D"/>
    <w:rsid w:val="00EC6455"/>
    <w:rsid w:val="00EF5869"/>
    <w:rsid w:val="00F36012"/>
    <w:rsid w:val="00F6514A"/>
    <w:rsid w:val="00F70C6E"/>
    <w:rsid w:val="00F73342"/>
    <w:rsid w:val="00F75A71"/>
    <w:rsid w:val="00F90884"/>
    <w:rsid w:val="00FB49FA"/>
    <w:rsid w:val="00FE580E"/>
    <w:rsid w:val="00FE6CDC"/>
    <w:rsid w:val="00FF045E"/>
    <w:rsid w:val="00FF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608"/>
    <w:rPr>
      <w:sz w:val="24"/>
    </w:rPr>
  </w:style>
  <w:style w:type="paragraph" w:styleId="Nadpis1">
    <w:name w:val="heading 1"/>
    <w:aliases w:val="Smlouva"/>
    <w:basedOn w:val="Normln"/>
    <w:next w:val="Normln"/>
    <w:link w:val="Nadpis1Char"/>
    <w:qFormat/>
    <w:rsid w:val="00681563"/>
    <w:pPr>
      <w:spacing w:after="360"/>
      <w:jc w:val="center"/>
      <w:outlineLvl w:val="0"/>
    </w:pPr>
    <w:rPr>
      <w:rFonts w:ascii="Tahoma" w:hAnsi="Tahoma"/>
      <w:b/>
      <w:sz w:val="28"/>
      <w:szCs w:val="28"/>
    </w:rPr>
  </w:style>
  <w:style w:type="paragraph" w:styleId="Nadpis2">
    <w:name w:val="heading 2"/>
    <w:aliases w:val="Nadpis článek"/>
    <w:basedOn w:val="Normln"/>
    <w:next w:val="Normln"/>
    <w:link w:val="Nadpis2Char"/>
    <w:qFormat/>
    <w:rsid w:val="00681563"/>
    <w:pPr>
      <w:keepNext/>
      <w:numPr>
        <w:numId w:val="7"/>
      </w:numPr>
      <w:spacing w:after="360"/>
      <w:ind w:left="357" w:firstLine="567"/>
      <w:jc w:val="center"/>
      <w:outlineLvl w:val="1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060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lang w:val="en-GB"/>
    </w:rPr>
  </w:style>
  <w:style w:type="paragraph" w:styleId="Zkladntext">
    <w:name w:val="Body Text"/>
    <w:basedOn w:val="Normln"/>
    <w:rsid w:val="00B90608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BodyText31">
    <w:name w:val="Body Text 31"/>
    <w:basedOn w:val="Normln"/>
    <w:rsid w:val="00B90608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BodyText21">
    <w:name w:val="Body Text 21"/>
    <w:basedOn w:val="Normln"/>
    <w:rsid w:val="00B90608"/>
    <w:pPr>
      <w:overflowPunct w:val="0"/>
      <w:autoSpaceDE w:val="0"/>
      <w:autoSpaceDN w:val="0"/>
      <w:adjustRightInd w:val="0"/>
      <w:textAlignment w:val="baseline"/>
    </w:pPr>
  </w:style>
  <w:style w:type="paragraph" w:styleId="Zpat">
    <w:name w:val="footer"/>
    <w:basedOn w:val="Normln"/>
    <w:link w:val="ZpatChar"/>
    <w:uiPriority w:val="99"/>
    <w:rsid w:val="00B906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0608"/>
  </w:style>
  <w:style w:type="paragraph" w:styleId="Textbubliny">
    <w:name w:val="Balloon Text"/>
    <w:basedOn w:val="Normln"/>
    <w:link w:val="TextbublinyChar"/>
    <w:rsid w:val="00206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0622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Smlouva Char"/>
    <w:link w:val="Nadpis1"/>
    <w:rsid w:val="00681563"/>
    <w:rPr>
      <w:rFonts w:ascii="Tahoma" w:hAnsi="Tahoma"/>
      <w:b/>
      <w:sz w:val="28"/>
      <w:szCs w:val="28"/>
    </w:rPr>
  </w:style>
  <w:style w:type="character" w:customStyle="1" w:styleId="Nadpis2Char">
    <w:name w:val="Nadpis 2 Char"/>
    <w:aliases w:val="Nadpis článek Char"/>
    <w:link w:val="Nadpis2"/>
    <w:rsid w:val="00681563"/>
    <w:rPr>
      <w:b/>
      <w:sz w:val="24"/>
      <w:szCs w:val="24"/>
    </w:rPr>
  </w:style>
  <w:style w:type="paragraph" w:customStyle="1" w:styleId="odrkyslovan">
    <w:name w:val="odrážky číslované"/>
    <w:basedOn w:val="Normln"/>
    <w:link w:val="odrkyslovanChar"/>
    <w:qFormat/>
    <w:rsid w:val="00681563"/>
    <w:pPr>
      <w:numPr>
        <w:numId w:val="8"/>
      </w:numPr>
      <w:tabs>
        <w:tab w:val="clear" w:pos="720"/>
      </w:tabs>
      <w:spacing w:after="360"/>
      <w:ind w:left="426"/>
      <w:jc w:val="both"/>
    </w:pPr>
    <w:rPr>
      <w:szCs w:val="24"/>
    </w:rPr>
  </w:style>
  <w:style w:type="character" w:customStyle="1" w:styleId="odrkyslovanChar">
    <w:name w:val="odrážky číslované Char"/>
    <w:link w:val="odrkyslovan"/>
    <w:rsid w:val="00681563"/>
    <w:rPr>
      <w:sz w:val="24"/>
      <w:szCs w:val="24"/>
    </w:rPr>
  </w:style>
  <w:style w:type="character" w:customStyle="1" w:styleId="orneocontacticons">
    <w:name w:val="orneocontacticons"/>
    <w:rsid w:val="00FE6CDC"/>
  </w:style>
  <w:style w:type="character" w:styleId="Siln">
    <w:name w:val="Strong"/>
    <w:uiPriority w:val="22"/>
    <w:qFormat/>
    <w:rsid w:val="00FE6CDC"/>
    <w:rPr>
      <w:b/>
      <w:bCs/>
    </w:rPr>
  </w:style>
  <w:style w:type="character" w:styleId="Odkaznakoment">
    <w:name w:val="annotation reference"/>
    <w:basedOn w:val="Standardnpsmoodstavce"/>
    <w:rsid w:val="00B43F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3FC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43FC2"/>
  </w:style>
  <w:style w:type="paragraph" w:styleId="Pedmtkomente">
    <w:name w:val="annotation subject"/>
    <w:basedOn w:val="Textkomente"/>
    <w:next w:val="Textkomente"/>
    <w:link w:val="PedmtkomenteChar"/>
    <w:rsid w:val="00B43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43FC2"/>
    <w:rPr>
      <w:b/>
      <w:bCs/>
    </w:rPr>
  </w:style>
  <w:style w:type="paragraph" w:styleId="Odstavecseseznamem">
    <w:name w:val="List Paragraph"/>
    <w:basedOn w:val="Normln"/>
    <w:uiPriority w:val="34"/>
    <w:qFormat/>
    <w:rsid w:val="00D77D8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C4B1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FTN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aljamal47708</cp:lastModifiedBy>
  <cp:revision>3</cp:revision>
  <cp:lastPrinted>2022-01-07T11:01:00Z</cp:lastPrinted>
  <dcterms:created xsi:type="dcterms:W3CDTF">2022-01-31T12:09:00Z</dcterms:created>
  <dcterms:modified xsi:type="dcterms:W3CDTF">2022-01-31T12:10:00Z</dcterms:modified>
</cp:coreProperties>
</file>